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54E26" w14:textId="1DE4A737" w:rsidR="001A7F45" w:rsidRDefault="00DB7369" w:rsidP="001A7F45">
      <w:pPr>
        <w:spacing w:after="0" w:line="240" w:lineRule="auto"/>
        <w:rPr>
          <w:rFonts w:ascii="Times New Roman" w:hAnsi="Times New Roman"/>
          <w:b/>
          <w:bCs/>
          <w:sz w:val="16"/>
          <w:szCs w:val="16"/>
          <w:lang w:val="en-US"/>
        </w:rPr>
      </w:pPr>
      <w:r w:rsidRPr="002554B6">
        <w:rPr>
          <w:rFonts w:ascii="Times New Roman" w:hAnsi="Times New Roman"/>
          <w:b/>
          <w:bCs/>
          <w:sz w:val="16"/>
          <w:szCs w:val="16"/>
          <w:lang w:val="en-US"/>
        </w:rPr>
        <w:t>PROBLEMY EKOROZWOJU</w:t>
      </w:r>
      <w:r w:rsidR="002D5FB7">
        <w:rPr>
          <w:rFonts w:ascii="Times New Roman" w:hAnsi="Times New Roman"/>
          <w:b/>
          <w:bCs/>
          <w:sz w:val="16"/>
          <w:szCs w:val="16"/>
          <w:lang w:val="en-US"/>
        </w:rPr>
        <w:t>/</w:t>
      </w:r>
      <w:r w:rsidRPr="002554B6">
        <w:rPr>
          <w:rFonts w:ascii="Times New Roman" w:hAnsi="Times New Roman"/>
          <w:b/>
          <w:bCs/>
          <w:sz w:val="16"/>
          <w:szCs w:val="16"/>
          <w:lang w:val="en-US"/>
        </w:rPr>
        <w:t xml:space="preserve"> PROBLEMS OF SUSTAINABLE DEVELOPMENT</w:t>
      </w:r>
      <w:r w:rsidRPr="002554B6">
        <w:rPr>
          <w:rFonts w:ascii="Times New Roman" w:hAnsi="Times New Roman"/>
          <w:b/>
          <w:bCs/>
          <w:sz w:val="16"/>
          <w:szCs w:val="16"/>
          <w:lang w:val="en-US"/>
        </w:rPr>
        <w:br/>
      </w:r>
      <w:r w:rsidR="001A7F45" w:rsidRPr="00B171AA">
        <w:rPr>
          <w:rFonts w:ascii="Times New Roman" w:hAnsi="Times New Roman"/>
          <w:b/>
          <w:bCs/>
          <w:sz w:val="16"/>
          <w:szCs w:val="16"/>
          <w:lang w:val="en-US"/>
        </w:rPr>
        <w:t>AN OPEN ACCESS ARTICLE DISTRIBUTED UNDER THE TERMS AND CO</w:t>
      </w:r>
      <w:r w:rsidR="009E4531">
        <w:rPr>
          <w:rFonts w:ascii="Times New Roman" w:hAnsi="Times New Roman"/>
          <w:b/>
          <w:bCs/>
          <w:sz w:val="16"/>
          <w:szCs w:val="16"/>
          <w:lang w:val="en-US"/>
        </w:rPr>
        <w:t>N</w:t>
      </w:r>
      <w:r w:rsidR="001A7F45" w:rsidRPr="00B171AA">
        <w:rPr>
          <w:rFonts w:ascii="Times New Roman" w:hAnsi="Times New Roman"/>
          <w:b/>
          <w:bCs/>
          <w:sz w:val="16"/>
          <w:szCs w:val="16"/>
          <w:lang w:val="en-US"/>
        </w:rPr>
        <w:t>DITIONS OF THE CC BY 4.0 LICENSE</w:t>
      </w:r>
    </w:p>
    <w:p w14:paraId="57B8D9C0" w14:textId="3C498954" w:rsidR="00235AAE" w:rsidRDefault="00DF38A5" w:rsidP="00C92C5D">
      <w:pPr>
        <w:spacing w:after="0" w:line="240" w:lineRule="auto"/>
        <w:rPr>
          <w:rFonts w:ascii="Times New Roman" w:hAnsi="Times New Roman"/>
          <w:b/>
          <w:bCs/>
          <w:sz w:val="16"/>
          <w:szCs w:val="16"/>
          <w:lang w:val="en-US"/>
        </w:rPr>
      </w:pPr>
      <w:r>
        <w:rPr>
          <w:rFonts w:ascii="Times New Roman" w:hAnsi="Times New Roman"/>
          <w:b/>
          <w:bCs/>
          <w:sz w:val="16"/>
          <w:szCs w:val="16"/>
          <w:lang w:val="en-US"/>
        </w:rPr>
        <w:t>SUBMITTED</w:t>
      </w:r>
      <w:r w:rsidR="00235AAE">
        <w:rPr>
          <w:rFonts w:ascii="Times New Roman" w:hAnsi="Times New Roman"/>
          <w:b/>
          <w:bCs/>
          <w:sz w:val="16"/>
          <w:szCs w:val="16"/>
          <w:lang w:val="en-US"/>
        </w:rPr>
        <w:t>:</w:t>
      </w:r>
      <w:r w:rsidR="00235AAE" w:rsidRPr="001E50E2">
        <w:rPr>
          <w:rFonts w:ascii="Times New Roman" w:hAnsi="Times New Roman"/>
          <w:b/>
          <w:bCs/>
          <w:sz w:val="16"/>
          <w:szCs w:val="16"/>
          <w:lang w:val="en-US"/>
        </w:rPr>
        <w:t xml:space="preserve"> </w:t>
      </w:r>
      <w:r w:rsidR="001620AC">
        <w:rPr>
          <w:rFonts w:ascii="Times New Roman" w:hAnsi="Times New Roman"/>
          <w:b/>
          <w:bCs/>
          <w:sz w:val="16"/>
          <w:szCs w:val="16"/>
          <w:lang w:val="en-US"/>
        </w:rPr>
        <w:t>13.06</w:t>
      </w:r>
      <w:r w:rsidR="00146626">
        <w:rPr>
          <w:rFonts w:ascii="Times New Roman" w:hAnsi="Times New Roman"/>
          <w:b/>
          <w:bCs/>
          <w:sz w:val="16"/>
          <w:szCs w:val="16"/>
          <w:lang w:val="en-US"/>
        </w:rPr>
        <w:t>.</w:t>
      </w:r>
      <w:r w:rsidR="00235AAE">
        <w:rPr>
          <w:rFonts w:ascii="Times New Roman" w:hAnsi="Times New Roman"/>
          <w:b/>
          <w:bCs/>
          <w:sz w:val="16"/>
          <w:szCs w:val="16"/>
          <w:lang w:val="en-US"/>
        </w:rPr>
        <w:t>2</w:t>
      </w:r>
      <w:r w:rsidR="00C901F8">
        <w:rPr>
          <w:rFonts w:ascii="Times New Roman" w:hAnsi="Times New Roman"/>
          <w:b/>
          <w:bCs/>
          <w:sz w:val="16"/>
          <w:szCs w:val="16"/>
          <w:lang w:val="en-US"/>
        </w:rPr>
        <w:t>02</w:t>
      </w:r>
      <w:r w:rsidR="00764067">
        <w:rPr>
          <w:rFonts w:ascii="Times New Roman" w:hAnsi="Times New Roman"/>
          <w:b/>
          <w:bCs/>
          <w:sz w:val="16"/>
          <w:szCs w:val="16"/>
          <w:lang w:val="en-US"/>
        </w:rPr>
        <w:t>5</w:t>
      </w:r>
      <w:r w:rsidR="00235AAE">
        <w:rPr>
          <w:rFonts w:ascii="Times New Roman" w:hAnsi="Times New Roman"/>
          <w:b/>
          <w:bCs/>
          <w:sz w:val="16"/>
          <w:szCs w:val="16"/>
          <w:lang w:val="en-US"/>
        </w:rPr>
        <w:t xml:space="preserve">, </w:t>
      </w:r>
      <w:r w:rsidR="00146626">
        <w:rPr>
          <w:rFonts w:ascii="Times New Roman" w:hAnsi="Times New Roman"/>
          <w:b/>
          <w:bCs/>
          <w:sz w:val="16"/>
          <w:szCs w:val="16"/>
          <w:lang w:val="en-US"/>
        </w:rPr>
        <w:t xml:space="preserve">ACCEPTED: </w:t>
      </w:r>
      <w:r w:rsidR="001620AC">
        <w:rPr>
          <w:rFonts w:ascii="Times New Roman" w:hAnsi="Times New Roman"/>
          <w:b/>
          <w:bCs/>
          <w:sz w:val="16"/>
          <w:szCs w:val="16"/>
          <w:lang w:val="en-US"/>
        </w:rPr>
        <w:t>31.06</w:t>
      </w:r>
      <w:r w:rsidR="00146626">
        <w:rPr>
          <w:rFonts w:ascii="Times New Roman" w:hAnsi="Times New Roman"/>
          <w:b/>
          <w:bCs/>
          <w:sz w:val="16"/>
          <w:szCs w:val="16"/>
          <w:lang w:val="en-US"/>
        </w:rPr>
        <w:t>.</w:t>
      </w:r>
      <w:r w:rsidR="00C901F8">
        <w:rPr>
          <w:rFonts w:ascii="Times New Roman" w:hAnsi="Times New Roman"/>
          <w:b/>
          <w:bCs/>
          <w:sz w:val="16"/>
          <w:szCs w:val="16"/>
          <w:lang w:val="en-US"/>
        </w:rPr>
        <w:t>202</w:t>
      </w:r>
      <w:r w:rsidR="00764067">
        <w:rPr>
          <w:rFonts w:ascii="Times New Roman" w:hAnsi="Times New Roman"/>
          <w:b/>
          <w:bCs/>
          <w:sz w:val="16"/>
          <w:szCs w:val="16"/>
          <w:lang w:val="en-US"/>
        </w:rPr>
        <w:t>5</w:t>
      </w:r>
      <w:r w:rsidR="00146626">
        <w:rPr>
          <w:rFonts w:ascii="Times New Roman" w:hAnsi="Times New Roman"/>
          <w:b/>
          <w:bCs/>
          <w:sz w:val="16"/>
          <w:szCs w:val="16"/>
          <w:lang w:val="en-US"/>
        </w:rPr>
        <w:t xml:space="preserve">, </w:t>
      </w:r>
      <w:r w:rsidR="00235AAE" w:rsidRPr="001E50E2">
        <w:rPr>
          <w:rFonts w:ascii="Times New Roman" w:hAnsi="Times New Roman"/>
          <w:b/>
          <w:bCs/>
          <w:sz w:val="16"/>
          <w:szCs w:val="16"/>
          <w:lang w:val="en-US"/>
        </w:rPr>
        <w:t>P</w:t>
      </w:r>
      <w:r w:rsidR="00235AAE">
        <w:rPr>
          <w:rFonts w:ascii="Times New Roman" w:hAnsi="Times New Roman"/>
          <w:b/>
          <w:bCs/>
          <w:sz w:val="16"/>
          <w:szCs w:val="16"/>
          <w:lang w:val="en-US"/>
        </w:rPr>
        <w:t>UBLISHED</w:t>
      </w:r>
      <w:r w:rsidR="006F5108">
        <w:rPr>
          <w:rFonts w:ascii="Times New Roman" w:hAnsi="Times New Roman"/>
          <w:b/>
          <w:bCs/>
          <w:sz w:val="16"/>
          <w:szCs w:val="16"/>
          <w:lang w:val="en-US"/>
        </w:rPr>
        <w:t xml:space="preserve"> ON-LINE</w:t>
      </w:r>
      <w:r w:rsidR="00235AAE" w:rsidRPr="001E50E2">
        <w:rPr>
          <w:rFonts w:ascii="Times New Roman" w:hAnsi="Times New Roman"/>
          <w:b/>
          <w:bCs/>
          <w:sz w:val="16"/>
          <w:szCs w:val="16"/>
          <w:lang w:val="en-US"/>
        </w:rPr>
        <w:t xml:space="preserve">: </w:t>
      </w:r>
      <w:r w:rsidR="00C57049">
        <w:rPr>
          <w:rFonts w:ascii="Times New Roman" w:hAnsi="Times New Roman"/>
          <w:b/>
          <w:bCs/>
          <w:sz w:val="16"/>
          <w:szCs w:val="16"/>
          <w:lang w:val="en-US"/>
        </w:rPr>
        <w:t>0</w:t>
      </w:r>
      <w:r w:rsidR="00764067">
        <w:rPr>
          <w:rFonts w:ascii="Times New Roman" w:hAnsi="Times New Roman"/>
          <w:b/>
          <w:bCs/>
          <w:sz w:val="16"/>
          <w:szCs w:val="16"/>
          <w:lang w:val="en-US"/>
        </w:rPr>
        <w:t>1</w:t>
      </w:r>
      <w:r w:rsidR="00235AAE">
        <w:rPr>
          <w:rFonts w:ascii="Times New Roman" w:hAnsi="Times New Roman"/>
          <w:b/>
          <w:bCs/>
          <w:sz w:val="16"/>
          <w:szCs w:val="16"/>
          <w:lang w:val="en-US"/>
        </w:rPr>
        <w:t>.</w:t>
      </w:r>
      <w:r w:rsidR="00D61D1C">
        <w:rPr>
          <w:rFonts w:ascii="Times New Roman" w:hAnsi="Times New Roman"/>
          <w:b/>
          <w:bCs/>
          <w:sz w:val="16"/>
          <w:szCs w:val="16"/>
          <w:lang w:val="en-US"/>
        </w:rPr>
        <w:t>0</w:t>
      </w:r>
      <w:r w:rsidR="00764067">
        <w:rPr>
          <w:rFonts w:ascii="Times New Roman" w:hAnsi="Times New Roman"/>
          <w:b/>
          <w:bCs/>
          <w:sz w:val="16"/>
          <w:szCs w:val="16"/>
          <w:lang w:val="en-US"/>
        </w:rPr>
        <w:t>7</w:t>
      </w:r>
      <w:r w:rsidR="00F7532B">
        <w:rPr>
          <w:rFonts w:ascii="Times New Roman" w:hAnsi="Times New Roman"/>
          <w:b/>
          <w:bCs/>
          <w:sz w:val="16"/>
          <w:szCs w:val="16"/>
          <w:lang w:val="en-US"/>
        </w:rPr>
        <w:t>.</w:t>
      </w:r>
      <w:r w:rsidR="00235AAE">
        <w:rPr>
          <w:rFonts w:ascii="Times New Roman" w:hAnsi="Times New Roman"/>
          <w:b/>
          <w:bCs/>
          <w:sz w:val="16"/>
          <w:szCs w:val="16"/>
          <w:lang w:val="en-US"/>
        </w:rPr>
        <w:t>2</w:t>
      </w:r>
      <w:r w:rsidR="00C901F8">
        <w:rPr>
          <w:rFonts w:ascii="Times New Roman" w:hAnsi="Times New Roman"/>
          <w:b/>
          <w:bCs/>
          <w:sz w:val="16"/>
          <w:szCs w:val="16"/>
          <w:lang w:val="en-US"/>
        </w:rPr>
        <w:t>02</w:t>
      </w:r>
      <w:r w:rsidR="00C57049">
        <w:rPr>
          <w:rFonts w:ascii="Times New Roman" w:hAnsi="Times New Roman"/>
          <w:b/>
          <w:bCs/>
          <w:sz w:val="16"/>
          <w:szCs w:val="16"/>
          <w:lang w:val="en-US"/>
        </w:rPr>
        <w:t>5</w:t>
      </w:r>
    </w:p>
    <w:p w14:paraId="57AEC17E" w14:textId="31D8F33B" w:rsidR="005D51E0" w:rsidRPr="00235445" w:rsidRDefault="0088538B" w:rsidP="00146626">
      <w:pPr>
        <w:spacing w:after="0" w:line="240" w:lineRule="auto"/>
        <w:rPr>
          <w:rFonts w:ascii="Times New Roman" w:hAnsi="Times New Roman"/>
          <w:b/>
          <w:bCs/>
          <w:sz w:val="16"/>
          <w:szCs w:val="16"/>
        </w:rPr>
      </w:pPr>
      <w:r w:rsidRPr="00235445">
        <w:rPr>
          <w:rFonts w:ascii="Times New Roman" w:hAnsi="Times New Roman"/>
          <w:b/>
          <w:bCs/>
          <w:sz w:val="16"/>
          <w:szCs w:val="16"/>
        </w:rPr>
        <w:t>202</w:t>
      </w:r>
      <w:r w:rsidR="00C57049" w:rsidRPr="00235445">
        <w:rPr>
          <w:rFonts w:ascii="Times New Roman" w:hAnsi="Times New Roman"/>
          <w:b/>
          <w:bCs/>
          <w:sz w:val="16"/>
          <w:szCs w:val="16"/>
        </w:rPr>
        <w:t>5</w:t>
      </w:r>
      <w:r w:rsidRPr="00235445">
        <w:rPr>
          <w:rFonts w:ascii="Times New Roman" w:hAnsi="Times New Roman"/>
          <w:b/>
          <w:bCs/>
          <w:sz w:val="16"/>
          <w:szCs w:val="16"/>
        </w:rPr>
        <w:t xml:space="preserve">, </w:t>
      </w:r>
      <w:r w:rsidR="00C57049" w:rsidRPr="00235445">
        <w:rPr>
          <w:rFonts w:ascii="Times New Roman" w:hAnsi="Times New Roman"/>
          <w:b/>
          <w:bCs/>
          <w:sz w:val="16"/>
          <w:szCs w:val="16"/>
        </w:rPr>
        <w:t>20</w:t>
      </w:r>
      <w:r w:rsidRPr="00235445">
        <w:rPr>
          <w:rFonts w:ascii="Times New Roman" w:hAnsi="Times New Roman"/>
          <w:b/>
          <w:bCs/>
          <w:sz w:val="16"/>
          <w:szCs w:val="16"/>
        </w:rPr>
        <w:t>(</w:t>
      </w:r>
      <w:r w:rsidR="00764067" w:rsidRPr="00235445">
        <w:rPr>
          <w:rFonts w:ascii="Times New Roman" w:hAnsi="Times New Roman"/>
          <w:b/>
          <w:bCs/>
          <w:sz w:val="16"/>
          <w:szCs w:val="16"/>
        </w:rPr>
        <w:t>2</w:t>
      </w:r>
      <w:r w:rsidRPr="00235445">
        <w:rPr>
          <w:rFonts w:ascii="Times New Roman" w:hAnsi="Times New Roman"/>
          <w:b/>
          <w:bCs/>
          <w:sz w:val="16"/>
          <w:szCs w:val="16"/>
        </w:rPr>
        <w:t>)</w:t>
      </w:r>
      <w:r w:rsidR="00231741" w:rsidRPr="00235445">
        <w:rPr>
          <w:rFonts w:ascii="Times New Roman" w:hAnsi="Times New Roman"/>
          <w:b/>
          <w:bCs/>
          <w:sz w:val="16"/>
          <w:szCs w:val="16"/>
        </w:rPr>
        <w:t>:</w:t>
      </w:r>
      <w:r w:rsidRPr="00235445">
        <w:rPr>
          <w:rFonts w:ascii="Times New Roman" w:hAnsi="Times New Roman"/>
          <w:b/>
          <w:bCs/>
          <w:sz w:val="16"/>
          <w:szCs w:val="16"/>
        </w:rPr>
        <w:t xml:space="preserve"> </w:t>
      </w:r>
      <w:r w:rsidR="006D4DC1" w:rsidRPr="00235445">
        <w:rPr>
          <w:rFonts w:ascii="Times New Roman" w:hAnsi="Times New Roman"/>
          <w:b/>
          <w:bCs/>
          <w:sz w:val="16"/>
          <w:szCs w:val="16"/>
        </w:rPr>
        <w:t>42</w:t>
      </w:r>
      <w:r w:rsidR="00C901F8" w:rsidRPr="00235445">
        <w:rPr>
          <w:rFonts w:ascii="Times New Roman" w:hAnsi="Times New Roman"/>
          <w:b/>
          <w:bCs/>
          <w:sz w:val="16"/>
          <w:szCs w:val="16"/>
        </w:rPr>
        <w:t>-</w:t>
      </w:r>
      <w:r w:rsidR="002E59F4" w:rsidRPr="00235445">
        <w:rPr>
          <w:rFonts w:ascii="Times New Roman" w:hAnsi="Times New Roman"/>
          <w:b/>
          <w:bCs/>
          <w:sz w:val="16"/>
          <w:szCs w:val="16"/>
        </w:rPr>
        <w:t>60,</w:t>
      </w:r>
      <w:r w:rsidR="001A7F45" w:rsidRPr="00235445">
        <w:rPr>
          <w:rFonts w:ascii="Times New Roman" w:hAnsi="Times New Roman"/>
          <w:b/>
          <w:bCs/>
          <w:sz w:val="16"/>
          <w:szCs w:val="16"/>
        </w:rPr>
        <w:t xml:space="preserve"> </w:t>
      </w:r>
      <w:r w:rsidR="005D51E0" w:rsidRPr="00235445">
        <w:rPr>
          <w:rFonts w:ascii="Times New Roman" w:hAnsi="Times New Roman"/>
          <w:b/>
          <w:bCs/>
          <w:sz w:val="16"/>
          <w:szCs w:val="16"/>
        </w:rPr>
        <w:t>DOI:</w:t>
      </w:r>
      <w:r w:rsidR="00CF2365" w:rsidRPr="00235445">
        <w:rPr>
          <w:rFonts w:ascii="Times New Roman" w:hAnsi="Times New Roman"/>
          <w:b/>
          <w:bCs/>
          <w:sz w:val="16"/>
          <w:szCs w:val="16"/>
        </w:rPr>
        <w:t xml:space="preserve"> </w:t>
      </w:r>
      <w:r w:rsidR="0020279C" w:rsidRPr="00235445">
        <w:rPr>
          <w:rFonts w:ascii="Times New Roman" w:hAnsi="Times New Roman"/>
          <w:b/>
          <w:bCs/>
          <w:sz w:val="16"/>
          <w:szCs w:val="16"/>
        </w:rPr>
        <w:t>10.35784/preko.7925</w:t>
      </w:r>
    </w:p>
    <w:p w14:paraId="2AB3E32B" w14:textId="77777777" w:rsidR="00DB7369" w:rsidRPr="00235445" w:rsidRDefault="00DB7369" w:rsidP="00DB7369">
      <w:pPr>
        <w:spacing w:after="0" w:line="240" w:lineRule="auto"/>
        <w:contextualSpacing/>
        <w:jc w:val="center"/>
        <w:rPr>
          <w:rFonts w:ascii="Times New Roman" w:hAnsi="Times New Roman"/>
          <w:b/>
          <w:sz w:val="24"/>
          <w:szCs w:val="24"/>
        </w:rPr>
      </w:pPr>
    </w:p>
    <w:p w14:paraId="31B87A5B" w14:textId="4053F893" w:rsidR="00235445" w:rsidRPr="00235445" w:rsidRDefault="00235445" w:rsidP="00235445">
      <w:pPr>
        <w:spacing w:after="0" w:line="240" w:lineRule="auto"/>
        <w:contextualSpacing/>
        <w:jc w:val="center"/>
        <w:rPr>
          <w:rFonts w:ascii="Times New Roman" w:hAnsi="Times New Roman"/>
          <w:b/>
          <w:color w:val="EE0000"/>
          <w:sz w:val="24"/>
          <w:szCs w:val="24"/>
          <w:lang w:val="en-US"/>
        </w:rPr>
      </w:pPr>
      <w:r w:rsidRPr="00235445">
        <w:rPr>
          <w:rFonts w:ascii="Times New Roman" w:hAnsi="Times New Roman"/>
          <w:b/>
          <w:color w:val="EE0000"/>
          <w:sz w:val="24"/>
          <w:szCs w:val="24"/>
          <w:lang w:val="en-US"/>
        </w:rPr>
        <w:t xml:space="preserve">Article </w:t>
      </w:r>
      <w:r w:rsidRPr="003D6628">
        <w:rPr>
          <w:rFonts w:ascii="Times New Roman" w:hAnsi="Times New Roman"/>
          <w:b/>
          <w:color w:val="EE0000"/>
          <w:sz w:val="24"/>
          <w:szCs w:val="24"/>
          <w:highlight w:val="yellow"/>
          <w:lang w:val="en-US"/>
        </w:rPr>
        <w:t>retracted</w:t>
      </w:r>
      <w:r w:rsidRPr="00235445">
        <w:rPr>
          <w:rFonts w:ascii="Times New Roman" w:hAnsi="Times New Roman"/>
          <w:b/>
          <w:color w:val="EE0000"/>
          <w:sz w:val="24"/>
          <w:szCs w:val="24"/>
          <w:lang w:val="en-US"/>
        </w:rPr>
        <w:t xml:space="preserve"> due to proven unauthorized use of Artificial Intelligence and by this</w:t>
      </w:r>
    </w:p>
    <w:p w14:paraId="0D3ABF9E" w14:textId="77777777" w:rsidR="00235445" w:rsidRPr="00235445" w:rsidRDefault="00235445" w:rsidP="00235445">
      <w:pPr>
        <w:spacing w:after="0" w:line="240" w:lineRule="auto"/>
        <w:contextualSpacing/>
        <w:jc w:val="center"/>
        <w:rPr>
          <w:rFonts w:ascii="Times New Roman" w:hAnsi="Times New Roman"/>
          <w:b/>
          <w:color w:val="EE0000"/>
          <w:sz w:val="24"/>
          <w:szCs w:val="24"/>
          <w:lang w:val="en-US"/>
        </w:rPr>
      </w:pPr>
      <w:r w:rsidRPr="00235445">
        <w:rPr>
          <w:rFonts w:ascii="Times New Roman" w:hAnsi="Times New Roman"/>
          <w:b/>
          <w:color w:val="EE0000"/>
          <w:sz w:val="24"/>
          <w:szCs w:val="24"/>
          <w:lang w:val="en-US"/>
        </w:rPr>
        <w:t>violation of our ethical principles.</w:t>
      </w:r>
    </w:p>
    <w:p w14:paraId="21D5B99C" w14:textId="77777777" w:rsidR="00235445" w:rsidRPr="00235445" w:rsidRDefault="00235445" w:rsidP="00235445">
      <w:pPr>
        <w:spacing w:after="0" w:line="240" w:lineRule="auto"/>
        <w:contextualSpacing/>
        <w:jc w:val="center"/>
        <w:rPr>
          <w:rFonts w:ascii="Times New Roman" w:hAnsi="Times New Roman"/>
          <w:b/>
          <w:color w:val="EE0000"/>
          <w:sz w:val="24"/>
          <w:szCs w:val="24"/>
        </w:rPr>
      </w:pPr>
      <w:r w:rsidRPr="00235445">
        <w:rPr>
          <w:rFonts w:ascii="Times New Roman" w:hAnsi="Times New Roman"/>
          <w:b/>
          <w:color w:val="EE0000"/>
          <w:sz w:val="24"/>
          <w:szCs w:val="24"/>
        </w:rPr>
        <w:t xml:space="preserve">Artykuł </w:t>
      </w:r>
      <w:r w:rsidRPr="003D6628">
        <w:rPr>
          <w:rFonts w:ascii="Times New Roman" w:hAnsi="Times New Roman"/>
          <w:b/>
          <w:color w:val="EE0000"/>
          <w:sz w:val="24"/>
          <w:szCs w:val="24"/>
          <w:highlight w:val="yellow"/>
        </w:rPr>
        <w:t>wycofany</w:t>
      </w:r>
      <w:r w:rsidRPr="00235445">
        <w:rPr>
          <w:rFonts w:ascii="Times New Roman" w:hAnsi="Times New Roman"/>
          <w:b/>
          <w:color w:val="EE0000"/>
          <w:sz w:val="24"/>
          <w:szCs w:val="24"/>
        </w:rPr>
        <w:t xml:space="preserve"> z uwagi na udowodnione nieuprawnione użycie Sztucznej Inteligencji,</w:t>
      </w:r>
    </w:p>
    <w:p w14:paraId="521EA22A" w14:textId="0E1E53F7" w:rsidR="00DB7369" w:rsidRPr="00235445" w:rsidRDefault="00235445" w:rsidP="00235445">
      <w:pPr>
        <w:spacing w:after="0" w:line="240" w:lineRule="auto"/>
        <w:contextualSpacing/>
        <w:jc w:val="center"/>
        <w:rPr>
          <w:rFonts w:ascii="Times New Roman" w:hAnsi="Times New Roman"/>
          <w:b/>
          <w:color w:val="EE0000"/>
          <w:sz w:val="24"/>
          <w:szCs w:val="24"/>
        </w:rPr>
      </w:pPr>
      <w:r w:rsidRPr="00235445">
        <w:rPr>
          <w:rFonts w:ascii="Times New Roman" w:hAnsi="Times New Roman"/>
          <w:b/>
          <w:color w:val="EE0000"/>
          <w:sz w:val="24"/>
          <w:szCs w:val="24"/>
        </w:rPr>
        <w:t>a w związku z tym złamanie naszych zasad etycz</w:t>
      </w:r>
      <w:r w:rsidRPr="00235445">
        <w:rPr>
          <w:rFonts w:ascii="Times New Roman" w:hAnsi="Times New Roman"/>
          <w:b/>
          <w:color w:val="EE0000"/>
          <w:sz w:val="24"/>
          <w:szCs w:val="24"/>
        </w:rPr>
        <w:t xml:space="preserve">nych </w:t>
      </w:r>
    </w:p>
    <w:p w14:paraId="41E8F9FF" w14:textId="77777777" w:rsidR="00235445" w:rsidRPr="00235445" w:rsidRDefault="00235445" w:rsidP="00235445">
      <w:pPr>
        <w:spacing w:after="0" w:line="240" w:lineRule="auto"/>
        <w:contextualSpacing/>
        <w:jc w:val="center"/>
        <w:rPr>
          <w:rFonts w:ascii="Times New Roman" w:hAnsi="Times New Roman"/>
          <w:b/>
          <w:sz w:val="24"/>
          <w:szCs w:val="24"/>
        </w:rPr>
      </w:pPr>
    </w:p>
    <w:p w14:paraId="3C66B0AF" w14:textId="77777777" w:rsidR="001620AC" w:rsidRDefault="001620AC" w:rsidP="009370A2">
      <w:pPr>
        <w:spacing w:after="0" w:line="240" w:lineRule="auto"/>
        <w:jc w:val="center"/>
        <w:rPr>
          <w:rFonts w:ascii="Book Antiqua" w:hAnsi="Book Antiqua"/>
          <w:b/>
          <w:sz w:val="32"/>
          <w:szCs w:val="32"/>
          <w:lang w:val="en-US"/>
        </w:rPr>
      </w:pPr>
      <w:r w:rsidRPr="001620AC">
        <w:rPr>
          <w:rFonts w:ascii="Book Antiqua" w:hAnsi="Book Antiqua"/>
          <w:b/>
          <w:sz w:val="32"/>
          <w:szCs w:val="32"/>
          <w:lang w:val="en-US"/>
        </w:rPr>
        <w:t xml:space="preserve">Electricity Network Capacity Needs for </w:t>
      </w:r>
    </w:p>
    <w:p w14:paraId="50019E94" w14:textId="77777777" w:rsidR="001620AC" w:rsidRDefault="001620AC" w:rsidP="009370A2">
      <w:pPr>
        <w:spacing w:after="0" w:line="240" w:lineRule="auto"/>
        <w:jc w:val="center"/>
        <w:rPr>
          <w:rFonts w:ascii="Book Antiqua" w:hAnsi="Book Antiqua"/>
          <w:b/>
          <w:sz w:val="32"/>
          <w:szCs w:val="32"/>
          <w:lang w:val="en-US"/>
        </w:rPr>
      </w:pPr>
      <w:r w:rsidRPr="001620AC">
        <w:rPr>
          <w:rFonts w:ascii="Book Antiqua" w:hAnsi="Book Antiqua"/>
          <w:b/>
          <w:sz w:val="32"/>
          <w:szCs w:val="32"/>
          <w:lang w:val="en-US"/>
        </w:rPr>
        <w:t xml:space="preserve">Industrial Decarbonization in China: </w:t>
      </w:r>
    </w:p>
    <w:p w14:paraId="3A7A30AA" w14:textId="4A94F82C" w:rsidR="00CB5695" w:rsidRPr="001620AC" w:rsidRDefault="001620AC" w:rsidP="009370A2">
      <w:pPr>
        <w:spacing w:after="0" w:line="240" w:lineRule="auto"/>
        <w:jc w:val="center"/>
        <w:rPr>
          <w:rFonts w:ascii="Book Antiqua" w:hAnsi="Book Antiqua"/>
          <w:b/>
          <w:sz w:val="32"/>
          <w:szCs w:val="32"/>
          <w:lang w:val="en-US"/>
        </w:rPr>
      </w:pPr>
      <w:r w:rsidRPr="001620AC">
        <w:rPr>
          <w:rFonts w:ascii="Book Antiqua" w:hAnsi="Book Antiqua"/>
          <w:b/>
          <w:sz w:val="32"/>
          <w:szCs w:val="32"/>
          <w:lang w:val="en-US"/>
        </w:rPr>
        <w:t>Pathways to Net-Zero under Grid Constraints</w:t>
      </w:r>
      <w:r w:rsidR="00430135" w:rsidRPr="001620AC">
        <w:rPr>
          <w:rFonts w:ascii="Book Antiqua" w:hAnsi="Book Antiqua"/>
          <w:b/>
          <w:sz w:val="32"/>
          <w:szCs w:val="32"/>
          <w:lang w:val="en-US"/>
        </w:rPr>
        <w:t xml:space="preserve"> </w:t>
      </w:r>
    </w:p>
    <w:p w14:paraId="1956C755" w14:textId="77777777" w:rsidR="00430135" w:rsidRPr="001620AC" w:rsidRDefault="00430135" w:rsidP="00CB5695">
      <w:pPr>
        <w:spacing w:after="0" w:line="240" w:lineRule="auto"/>
        <w:jc w:val="center"/>
        <w:rPr>
          <w:rFonts w:ascii="Book Antiqua" w:hAnsi="Book Antiqua"/>
          <w:b/>
          <w:sz w:val="32"/>
          <w:szCs w:val="32"/>
          <w:lang w:val="en-US"/>
        </w:rPr>
      </w:pPr>
    </w:p>
    <w:p w14:paraId="795020B0" w14:textId="77777777" w:rsidR="001E1D1A" w:rsidRDefault="001620AC" w:rsidP="00491948">
      <w:pPr>
        <w:spacing w:after="0" w:line="240" w:lineRule="auto"/>
        <w:jc w:val="center"/>
        <w:rPr>
          <w:rFonts w:ascii="Book Antiqua" w:hAnsi="Book Antiqua"/>
          <w:b/>
          <w:sz w:val="28"/>
          <w:szCs w:val="28"/>
        </w:rPr>
      </w:pPr>
      <w:r w:rsidRPr="001620AC">
        <w:rPr>
          <w:rFonts w:ascii="Book Antiqua" w:hAnsi="Book Antiqua"/>
          <w:b/>
          <w:sz w:val="28"/>
          <w:szCs w:val="28"/>
        </w:rPr>
        <w:t xml:space="preserve">Potrzeby w zakresie przepustowości sieci elektroenergetycznej </w:t>
      </w:r>
    </w:p>
    <w:p w14:paraId="174620F8" w14:textId="77777777" w:rsidR="001E1D1A" w:rsidRDefault="001620AC" w:rsidP="00491948">
      <w:pPr>
        <w:spacing w:after="0" w:line="240" w:lineRule="auto"/>
        <w:jc w:val="center"/>
        <w:rPr>
          <w:rFonts w:ascii="Book Antiqua" w:hAnsi="Book Antiqua"/>
          <w:b/>
          <w:sz w:val="28"/>
          <w:szCs w:val="28"/>
        </w:rPr>
      </w:pPr>
      <w:r w:rsidRPr="001620AC">
        <w:rPr>
          <w:rFonts w:ascii="Book Antiqua" w:hAnsi="Book Antiqua"/>
          <w:b/>
          <w:sz w:val="28"/>
          <w:szCs w:val="28"/>
        </w:rPr>
        <w:t xml:space="preserve">w kontekście dekarbonizacji przemysłu w Chinach: </w:t>
      </w:r>
    </w:p>
    <w:p w14:paraId="0A53AC7C" w14:textId="1202FA39" w:rsidR="00430135" w:rsidRPr="002A76CA" w:rsidRDefault="001620AC" w:rsidP="00491948">
      <w:pPr>
        <w:spacing w:after="0" w:line="240" w:lineRule="auto"/>
        <w:jc w:val="center"/>
        <w:rPr>
          <w:rFonts w:ascii="Book Antiqua" w:hAnsi="Book Antiqua"/>
          <w:b/>
          <w:sz w:val="28"/>
          <w:szCs w:val="28"/>
        </w:rPr>
      </w:pPr>
      <w:r w:rsidRPr="001620AC">
        <w:rPr>
          <w:rFonts w:ascii="Book Antiqua" w:hAnsi="Book Antiqua"/>
          <w:b/>
          <w:sz w:val="28"/>
          <w:szCs w:val="28"/>
        </w:rPr>
        <w:t>drogi do zerowej emisji netto przy ograniczeniach sieci</w:t>
      </w:r>
      <w:r w:rsidR="00C901F8" w:rsidRPr="00C901F8">
        <w:rPr>
          <w:rFonts w:ascii="Book Antiqua" w:hAnsi="Book Antiqua"/>
          <w:b/>
          <w:sz w:val="28"/>
          <w:szCs w:val="28"/>
        </w:rPr>
        <w:t xml:space="preserve"> </w:t>
      </w:r>
    </w:p>
    <w:p w14:paraId="7E8EFFA1" w14:textId="77777777" w:rsidR="00430135" w:rsidRPr="00430135" w:rsidRDefault="00430135" w:rsidP="00957843">
      <w:pPr>
        <w:spacing w:after="0" w:line="240" w:lineRule="auto"/>
        <w:jc w:val="center"/>
        <w:rPr>
          <w:rFonts w:ascii="Book Antiqua" w:hAnsi="Book Antiqua"/>
          <w:b/>
          <w:sz w:val="40"/>
          <w:szCs w:val="40"/>
        </w:rPr>
      </w:pPr>
    </w:p>
    <w:p w14:paraId="01735415" w14:textId="3F42268A" w:rsidR="00430135" w:rsidRPr="0011299B" w:rsidRDefault="0011299B" w:rsidP="00957843">
      <w:pPr>
        <w:spacing w:after="0" w:line="240" w:lineRule="auto"/>
        <w:jc w:val="center"/>
        <w:rPr>
          <w:rFonts w:ascii="Arial" w:hAnsi="Arial" w:cs="Arial"/>
          <w:b/>
          <w:sz w:val="28"/>
          <w:szCs w:val="28"/>
          <w:lang w:val="en-US"/>
        </w:rPr>
      </w:pPr>
      <w:r w:rsidRPr="0011299B">
        <w:rPr>
          <w:rFonts w:ascii="Arial" w:hAnsi="Arial" w:cs="Arial"/>
          <w:b/>
          <w:sz w:val="28"/>
          <w:szCs w:val="28"/>
          <w:lang w:val="en-US"/>
        </w:rPr>
        <w:t>Mohammed Touitou</w:t>
      </w:r>
    </w:p>
    <w:p w14:paraId="6728AD79" w14:textId="77777777" w:rsidR="00957843" w:rsidRPr="0011299B" w:rsidRDefault="00CB5695" w:rsidP="00942062">
      <w:pPr>
        <w:tabs>
          <w:tab w:val="left" w:pos="4996"/>
        </w:tabs>
        <w:spacing w:after="0" w:line="240" w:lineRule="auto"/>
        <w:contextualSpacing/>
        <w:rPr>
          <w:rFonts w:ascii="Arial" w:hAnsi="Arial" w:cs="Arial"/>
          <w:b/>
          <w:sz w:val="28"/>
          <w:szCs w:val="28"/>
          <w:lang w:val="en-US"/>
        </w:rPr>
      </w:pPr>
      <w:r w:rsidRPr="0011299B">
        <w:rPr>
          <w:rFonts w:ascii="Arial" w:hAnsi="Arial" w:cs="Arial"/>
          <w:b/>
          <w:sz w:val="28"/>
          <w:szCs w:val="28"/>
          <w:lang w:val="en-US"/>
        </w:rPr>
        <w:tab/>
      </w:r>
    </w:p>
    <w:p w14:paraId="08A556FE" w14:textId="2216D4DB" w:rsidR="0011299B" w:rsidRPr="0011299B" w:rsidRDefault="0011299B" w:rsidP="0011299B">
      <w:pPr>
        <w:pBdr>
          <w:bottom w:val="single" w:sz="4" w:space="1" w:color="auto"/>
        </w:pBdr>
        <w:spacing w:after="0" w:line="240" w:lineRule="auto"/>
        <w:contextualSpacing/>
        <w:jc w:val="center"/>
        <w:rPr>
          <w:rFonts w:ascii="Times New Roman" w:hAnsi="Times New Roman"/>
          <w:i/>
          <w:sz w:val="24"/>
          <w:szCs w:val="24"/>
          <w:lang w:val="en-GB"/>
        </w:rPr>
      </w:pPr>
      <w:r w:rsidRPr="0011299B">
        <w:rPr>
          <w:rFonts w:ascii="Times New Roman" w:hAnsi="Times New Roman"/>
          <w:i/>
          <w:sz w:val="24"/>
          <w:szCs w:val="24"/>
          <w:lang w:val="en-GB"/>
        </w:rPr>
        <w:t>University of Algiers</w:t>
      </w:r>
      <w:r>
        <w:rPr>
          <w:rFonts w:ascii="Times New Roman" w:hAnsi="Times New Roman"/>
          <w:i/>
          <w:sz w:val="24"/>
          <w:szCs w:val="24"/>
          <w:lang w:val="en-GB"/>
        </w:rPr>
        <w:t>,</w:t>
      </w:r>
      <w:r w:rsidRPr="0011299B">
        <w:rPr>
          <w:rFonts w:ascii="Times New Roman" w:hAnsi="Times New Roman"/>
          <w:i/>
          <w:sz w:val="24"/>
          <w:szCs w:val="24"/>
          <w:lang w:val="en-GB"/>
        </w:rPr>
        <w:t xml:space="preserve"> Faculty of Economics and Business, Algeria</w:t>
      </w:r>
    </w:p>
    <w:p w14:paraId="0547B335" w14:textId="03B9845A" w:rsidR="00C901F8" w:rsidRDefault="0011299B" w:rsidP="0011299B">
      <w:pPr>
        <w:pBdr>
          <w:bottom w:val="single" w:sz="4" w:space="1" w:color="auto"/>
        </w:pBdr>
        <w:spacing w:after="0" w:line="240" w:lineRule="auto"/>
        <w:contextualSpacing/>
        <w:jc w:val="center"/>
        <w:rPr>
          <w:rFonts w:ascii="Times New Roman" w:hAnsi="Times New Roman"/>
          <w:i/>
          <w:sz w:val="24"/>
          <w:szCs w:val="24"/>
          <w:lang w:val="en-GB"/>
        </w:rPr>
      </w:pPr>
      <w:r w:rsidRPr="0011299B">
        <w:rPr>
          <w:rFonts w:ascii="Times New Roman" w:hAnsi="Times New Roman"/>
          <w:i/>
          <w:sz w:val="24"/>
          <w:szCs w:val="24"/>
          <w:lang w:val="en-GB"/>
        </w:rPr>
        <w:t>E-mail: touitoutouitou@yahoo.fr</w:t>
      </w:r>
      <w:r>
        <w:rPr>
          <w:rFonts w:ascii="Times New Roman" w:hAnsi="Times New Roman"/>
          <w:i/>
          <w:sz w:val="24"/>
          <w:szCs w:val="24"/>
          <w:lang w:val="en-GB"/>
        </w:rPr>
        <w:t>, ORCID:</w:t>
      </w:r>
      <w:r w:rsidRPr="0011299B">
        <w:rPr>
          <w:rFonts w:ascii="Times New Roman" w:hAnsi="Times New Roman"/>
          <w:i/>
          <w:sz w:val="24"/>
          <w:szCs w:val="24"/>
          <w:lang w:val="en-GB"/>
        </w:rPr>
        <w:t xml:space="preserve"> 0000-0002-4442-7888</w:t>
      </w:r>
    </w:p>
    <w:p w14:paraId="3F367F9A" w14:textId="77777777" w:rsidR="0011299B" w:rsidRPr="0011299B" w:rsidRDefault="0011299B" w:rsidP="0011299B">
      <w:pPr>
        <w:pBdr>
          <w:bottom w:val="single" w:sz="4" w:space="1" w:color="auto"/>
        </w:pBdr>
        <w:spacing w:after="0" w:line="240" w:lineRule="auto"/>
        <w:contextualSpacing/>
        <w:jc w:val="center"/>
        <w:rPr>
          <w:rFonts w:ascii="Times New Roman" w:hAnsi="Times New Roman"/>
          <w:b/>
          <w:sz w:val="24"/>
          <w:szCs w:val="24"/>
          <w:lang w:val="en-GB"/>
        </w:rPr>
      </w:pPr>
    </w:p>
    <w:p w14:paraId="46537C22" w14:textId="77777777" w:rsidR="0011299B" w:rsidRDefault="00957843" w:rsidP="0011299B">
      <w:pPr>
        <w:spacing w:after="0" w:line="240" w:lineRule="auto"/>
        <w:jc w:val="both"/>
        <w:rPr>
          <w:rFonts w:ascii="Times New Roman" w:hAnsi="Times New Roman"/>
          <w:b/>
          <w:sz w:val="24"/>
          <w:szCs w:val="24"/>
          <w:lang w:val="en-US"/>
        </w:rPr>
      </w:pPr>
      <w:r w:rsidRPr="00942062">
        <w:rPr>
          <w:rFonts w:ascii="Times New Roman" w:hAnsi="Times New Roman"/>
          <w:b/>
          <w:sz w:val="24"/>
          <w:szCs w:val="24"/>
          <w:lang w:val="en-US"/>
        </w:rPr>
        <w:t>Abstract</w:t>
      </w:r>
    </w:p>
    <w:p w14:paraId="7E75DD65" w14:textId="3030F458" w:rsidR="00C901F8" w:rsidRPr="006D4DC1" w:rsidRDefault="0011299B" w:rsidP="006D4DC1">
      <w:pPr>
        <w:spacing w:after="0" w:line="240" w:lineRule="auto"/>
        <w:jc w:val="both"/>
        <w:rPr>
          <w:rFonts w:ascii="Times New Roman" w:hAnsi="Times New Roman"/>
          <w:b/>
          <w:szCs w:val="20"/>
          <w:lang w:val="en-US"/>
        </w:rPr>
      </w:pPr>
      <w:r w:rsidRPr="006D4DC1">
        <w:rPr>
          <w:rFonts w:ascii="Times New Roman" w:hAnsi="Times New Roman"/>
          <w:sz w:val="20"/>
          <w:szCs w:val="20"/>
          <w:lang w:val="en-US"/>
        </w:rPr>
        <w:t xml:space="preserve">China’s commitment to peak carbon emissions by 2030 and achieve carbon neutrality by 2060 requires deep decarbonization of its industrial sector, responsible for over 60% of national energy-related CO₂ emissions. This paper assesses the electricity network capacity needed to support industrial electrification under three scenarios: Business-as-Usual, Balanced Decarbonization and Max Electrification. </w:t>
      </w:r>
      <w:r w:rsidRPr="003C0960">
        <w:rPr>
          <w:rFonts w:ascii="Times New Roman" w:hAnsi="Times New Roman"/>
          <w:sz w:val="20"/>
          <w:szCs w:val="20"/>
          <w:lang w:val="en-US"/>
        </w:rPr>
        <w:t xml:space="preserve">Using a spatially disaggregated, province-level modeling approach, we project industrial electricity demand through 2050 and compare it to grid headroom to identify infrastructure constraints. Results show that while eastern coastal provinces can accommodate demand growth through 2030, central and western regions face significant capacity shortfalls by 2040–2050. Without targeted investments in transmission and distribution networks, over 55% of large point-source industrial sites could face grid constraints – threatening national decarbonization goals. Policy recommendations include region-specific grid reinforcement, alignment of electrification with infrastructure planning, and integration of network constraints into national energy models. </w:t>
      </w:r>
      <w:r w:rsidRPr="006D4DC1">
        <w:rPr>
          <w:rFonts w:ascii="Times New Roman" w:hAnsi="Times New Roman"/>
          <w:sz w:val="20"/>
          <w:szCs w:val="20"/>
          <w:lang w:val="en-US"/>
        </w:rPr>
        <w:t>This study provides the first spatially explicit assessment of electricity grid limitations for industrial decarbonization in China, offering key insights for policymakers and planners navigating the net-zero transition.</w:t>
      </w:r>
      <w:r w:rsidR="006D4DC1" w:rsidRPr="006D4DC1">
        <w:rPr>
          <w:rFonts w:ascii="Times New Roman" w:hAnsi="Times New Roman"/>
          <w:sz w:val="20"/>
          <w:szCs w:val="20"/>
          <w:lang w:val="en-US"/>
        </w:rPr>
        <w:t xml:space="preserve"> </w:t>
      </w:r>
      <w:r w:rsidRPr="006D4DC1">
        <w:rPr>
          <w:rFonts w:ascii="Times New Roman" w:hAnsi="Times New Roman"/>
          <w:sz w:val="20"/>
          <w:szCs w:val="20"/>
          <w:lang w:val="en-US"/>
        </w:rPr>
        <w:t>The findings also support progress toward the Sustainable Development Goals – specifically SDG 7 (Affordable and Clean Energy), SDG 9 (Industry, Innovation and Infrastructure), and SDG 13 (Climate Action) – while aligning with China’s ecological civilization strategy for green and inclusive industrial transformation.</w:t>
      </w:r>
    </w:p>
    <w:p w14:paraId="7468386E" w14:textId="77777777" w:rsidR="006D4DC1" w:rsidRPr="006D4DC1" w:rsidRDefault="006D4DC1" w:rsidP="0011299B">
      <w:pPr>
        <w:pStyle w:val="MDPI19classification"/>
        <w:spacing w:before="0" w:line="240" w:lineRule="auto"/>
        <w:ind w:left="0"/>
        <w:rPr>
          <w:rFonts w:ascii="Times New Roman" w:hAnsi="Times New Roman"/>
          <w:b w:val="0"/>
          <w:szCs w:val="20"/>
        </w:rPr>
      </w:pPr>
    </w:p>
    <w:p w14:paraId="1D691045" w14:textId="243A9932" w:rsidR="00491948" w:rsidRDefault="00C901F8" w:rsidP="00491948">
      <w:pPr>
        <w:pStyle w:val="MDPI19classification"/>
        <w:spacing w:before="0" w:line="240" w:lineRule="auto"/>
        <w:ind w:left="0"/>
        <w:rPr>
          <w:rFonts w:ascii="Times New Roman" w:hAnsi="Times New Roman"/>
          <w:b w:val="0"/>
          <w:szCs w:val="20"/>
        </w:rPr>
      </w:pPr>
      <w:r w:rsidRPr="00C901F8">
        <w:rPr>
          <w:rFonts w:ascii="Times New Roman" w:hAnsi="Times New Roman"/>
          <w:bCs/>
          <w:szCs w:val="20"/>
        </w:rPr>
        <w:t>Key words:</w:t>
      </w:r>
      <w:r w:rsidRPr="00C901F8">
        <w:rPr>
          <w:rFonts w:ascii="Times New Roman" w:hAnsi="Times New Roman"/>
          <w:b w:val="0"/>
          <w:szCs w:val="20"/>
        </w:rPr>
        <w:t xml:space="preserve"> </w:t>
      </w:r>
      <w:r w:rsidR="006D4DC1" w:rsidRPr="006D4DC1">
        <w:rPr>
          <w:rFonts w:ascii="Times New Roman" w:hAnsi="Times New Roman"/>
          <w:b w:val="0"/>
          <w:szCs w:val="20"/>
        </w:rPr>
        <w:t>industrial decarbonization, electricity network capacity, China, grid constraints, net-zero, electrification, CO</w:t>
      </w:r>
      <w:r w:rsidR="006D4DC1" w:rsidRPr="00FA4336">
        <w:rPr>
          <w:rFonts w:ascii="Times New Roman" w:hAnsi="Times New Roman"/>
          <w:b w:val="0"/>
          <w:szCs w:val="20"/>
          <w:vertAlign w:val="subscript"/>
        </w:rPr>
        <w:t>2</w:t>
      </w:r>
      <w:r w:rsidR="006D4DC1" w:rsidRPr="006D4DC1">
        <w:rPr>
          <w:rFonts w:ascii="Times New Roman" w:hAnsi="Times New Roman"/>
          <w:b w:val="0"/>
          <w:szCs w:val="20"/>
        </w:rPr>
        <w:t xml:space="preserve"> emissions</w:t>
      </w:r>
    </w:p>
    <w:p w14:paraId="70B13A74" w14:textId="62A1F6CA" w:rsidR="002F345B" w:rsidRPr="00D8023E" w:rsidRDefault="002F345B" w:rsidP="00C901F8">
      <w:pPr>
        <w:pStyle w:val="MDPI19classification"/>
        <w:spacing w:before="0" w:line="240" w:lineRule="auto"/>
        <w:ind w:left="0"/>
        <w:rPr>
          <w:rFonts w:ascii="Times New Roman" w:hAnsi="Times New Roman"/>
          <w:b w:val="0"/>
          <w:szCs w:val="20"/>
        </w:rPr>
      </w:pPr>
    </w:p>
    <w:p w14:paraId="77DA575E" w14:textId="77777777" w:rsidR="006D4DC1" w:rsidRPr="003C0960" w:rsidRDefault="002A76CA" w:rsidP="006D4DC1">
      <w:pPr>
        <w:pStyle w:val="MDPI19classification"/>
        <w:spacing w:before="0" w:line="240" w:lineRule="auto"/>
        <w:ind w:left="0"/>
        <w:rPr>
          <w:rFonts w:ascii="Times New Roman" w:hAnsi="Times New Roman"/>
          <w:bCs/>
          <w:sz w:val="24"/>
          <w:szCs w:val="24"/>
          <w:lang w:val="pl-PL"/>
        </w:rPr>
      </w:pPr>
      <w:r w:rsidRPr="003C0960">
        <w:rPr>
          <w:rFonts w:ascii="Times New Roman" w:hAnsi="Times New Roman"/>
          <w:bCs/>
          <w:sz w:val="24"/>
          <w:szCs w:val="24"/>
          <w:lang w:val="pl-PL"/>
        </w:rPr>
        <w:t>Streszczenie</w:t>
      </w:r>
    </w:p>
    <w:p w14:paraId="44655345" w14:textId="150F35E4" w:rsidR="006D4DC1" w:rsidRPr="006D4DC1" w:rsidRDefault="006D4DC1" w:rsidP="006D4DC1">
      <w:pPr>
        <w:pStyle w:val="MDPI19classification"/>
        <w:spacing w:before="0" w:line="240" w:lineRule="auto"/>
        <w:ind w:left="0"/>
        <w:rPr>
          <w:rFonts w:ascii="Times New Roman" w:hAnsi="Times New Roman"/>
          <w:bCs/>
          <w:sz w:val="24"/>
          <w:szCs w:val="24"/>
          <w:lang w:val="pl-PL"/>
        </w:rPr>
      </w:pPr>
      <w:r w:rsidRPr="006D4DC1">
        <w:rPr>
          <w:rFonts w:ascii="Times New Roman" w:hAnsi="Times New Roman"/>
          <w:b w:val="0"/>
          <w:szCs w:val="20"/>
          <w:lang w:val="pl-PL"/>
        </w:rPr>
        <w:t>Zobowiązanie Chin do osiągnięcia szczytowej emisji dwutlenku węgla do 2030 roku i osiągnięcia neutralności węglowej do 2060 roku wymaga głębokiej dekarbonizacji sektora przemysłowego, odpowiedzialnego za ponad 60% krajowych emisji CO₂ związanych z energią. W niniejszym opracowaniu dokonano oceny przepustowości sieci elektroenergetycznej niezbędnej do wsparcia elektryfikacji przemysłu w trzech scenariuszach: Business-as-</w:t>
      </w:r>
      <w:proofErr w:type="spellStart"/>
      <w:r w:rsidRPr="006D4DC1">
        <w:rPr>
          <w:rFonts w:ascii="Times New Roman" w:hAnsi="Times New Roman"/>
          <w:b w:val="0"/>
          <w:szCs w:val="20"/>
          <w:lang w:val="pl-PL"/>
        </w:rPr>
        <w:t>Usual</w:t>
      </w:r>
      <w:proofErr w:type="spellEnd"/>
      <w:r w:rsidRPr="006D4DC1">
        <w:rPr>
          <w:rFonts w:ascii="Times New Roman" w:hAnsi="Times New Roman"/>
          <w:b w:val="0"/>
          <w:szCs w:val="20"/>
          <w:lang w:val="pl-PL"/>
        </w:rPr>
        <w:t>, Zrównoważona Dekarbonizacja i Max Ele</w:t>
      </w:r>
      <w:r w:rsidR="00FA4336">
        <w:rPr>
          <w:rFonts w:ascii="Times New Roman" w:hAnsi="Times New Roman"/>
          <w:b w:val="0"/>
          <w:szCs w:val="20"/>
          <w:lang w:val="pl-PL"/>
        </w:rPr>
        <w:t>ktryfikacja</w:t>
      </w:r>
      <w:r w:rsidRPr="006D4DC1">
        <w:rPr>
          <w:rFonts w:ascii="Times New Roman" w:hAnsi="Times New Roman"/>
          <w:b w:val="0"/>
          <w:szCs w:val="20"/>
          <w:lang w:val="pl-PL"/>
        </w:rPr>
        <w:t xml:space="preserve">. Wykorzystując modelowanie przestrzenne na poziomie prowincji, prognozujemy zapotrzebowanie przemysłu na energię elektryczną do 2050 roku i porównujemy je z rezerwą mocy sieci, aby zidentyfikować ograniczenia infrastrukturalne. Wyniki pokazują, że o ile prowincje wschodniego wybrzeża mogą sprostać wzrostowi zapotrzebowania do 2030 roku, o tyle regiony centralne i zachodnie stoją w obliczu znacznych niedoborów mocy do 2040–2050 r. Bez ukierunkowanych inwestycji w sieci </w:t>
      </w:r>
      <w:r w:rsidRPr="006D4DC1">
        <w:rPr>
          <w:rFonts w:ascii="Times New Roman" w:hAnsi="Times New Roman"/>
          <w:b w:val="0"/>
          <w:szCs w:val="20"/>
          <w:lang w:val="pl-PL"/>
        </w:rPr>
        <w:lastRenderedPageBreak/>
        <w:t>przesyłowe i dystrybucyjne, ponad 55% dużych zakładów przemysłowych z punktowym źródłem energii może napotkać ograniczenia sieciowe, co zagraża realizacji krajowych celów dekarbonizacji. Zalecenia polityczne obejmują wzmocnienie sieci energetycznej w poszczególnych regionach, dostosowanie elektryfikacji do planowania infrastruktury oraz integrację ograniczeń sieciowych z krajowymi modelami energetycznymi. Niniejsze badanie stanowi pierwszą, uwzględniającą wszystkie aspekty przestrzenne, ocenę ograniczeń sieci elektroenergetycznej w kontekście dekarbonizacji przemysłu w Chinach, oferując kluczowe informacje dla decydentów i planistów wdrażających transformację do zerowej emisji netto.</w:t>
      </w:r>
    </w:p>
    <w:p w14:paraId="0804DA88" w14:textId="67CF8382" w:rsidR="006F5108" w:rsidRPr="006D4DC1" w:rsidRDefault="006D4DC1" w:rsidP="006D4DC1">
      <w:pPr>
        <w:pStyle w:val="MDPI19classification"/>
        <w:spacing w:before="0" w:line="240" w:lineRule="auto"/>
        <w:ind w:left="0"/>
        <w:rPr>
          <w:rFonts w:ascii="Times New Roman" w:hAnsi="Times New Roman"/>
          <w:b w:val="0"/>
          <w:szCs w:val="20"/>
          <w:lang w:val="pl-PL"/>
        </w:rPr>
      </w:pPr>
      <w:r>
        <w:rPr>
          <w:rFonts w:ascii="Times New Roman" w:hAnsi="Times New Roman"/>
          <w:b w:val="0"/>
          <w:szCs w:val="20"/>
          <w:lang w:val="pl-PL"/>
        </w:rPr>
        <w:t>Badania</w:t>
      </w:r>
      <w:r w:rsidRPr="006D4DC1">
        <w:rPr>
          <w:rFonts w:ascii="Times New Roman" w:hAnsi="Times New Roman"/>
          <w:b w:val="0"/>
          <w:szCs w:val="20"/>
          <w:lang w:val="pl-PL"/>
        </w:rPr>
        <w:t xml:space="preserve"> te wspierają również postęp w realizacji Celów Zrównoważonego Rozwoju – w szczególności Celu 7 (Przystępna i Czysta Energia), Celu 9 (Przemysł, Innowacje i Infrastruktura) oraz Celu 13 (Działania na rzecz Klimatu) – jednocześnie wpisując się w chińską strategię cywilizacji ekologicznej na rzecz zielonej i </w:t>
      </w:r>
      <w:proofErr w:type="spellStart"/>
      <w:r w:rsidRPr="006D4DC1">
        <w:rPr>
          <w:rFonts w:ascii="Times New Roman" w:hAnsi="Times New Roman"/>
          <w:b w:val="0"/>
          <w:szCs w:val="20"/>
          <w:lang w:val="pl-PL"/>
        </w:rPr>
        <w:t>inkluzywnej</w:t>
      </w:r>
      <w:proofErr w:type="spellEnd"/>
      <w:r w:rsidRPr="006D4DC1">
        <w:rPr>
          <w:rFonts w:ascii="Times New Roman" w:hAnsi="Times New Roman"/>
          <w:b w:val="0"/>
          <w:szCs w:val="20"/>
          <w:lang w:val="pl-PL"/>
        </w:rPr>
        <w:t xml:space="preserve"> transformacji przemysłowej.</w:t>
      </w:r>
    </w:p>
    <w:p w14:paraId="190629CA" w14:textId="77777777" w:rsidR="002F345B" w:rsidRPr="006D4DC1" w:rsidRDefault="002F345B" w:rsidP="002F345B">
      <w:pPr>
        <w:pStyle w:val="MDPI19classification"/>
        <w:spacing w:before="0" w:line="240" w:lineRule="auto"/>
        <w:ind w:left="0"/>
        <w:rPr>
          <w:rFonts w:ascii="Times New Roman" w:hAnsi="Times New Roman"/>
          <w:szCs w:val="20"/>
          <w:lang w:val="pl-PL"/>
        </w:rPr>
      </w:pPr>
    </w:p>
    <w:p w14:paraId="6F81343D" w14:textId="414F052B" w:rsidR="00DB7369" w:rsidRPr="006D4DC1" w:rsidRDefault="000E363F" w:rsidP="00C31562">
      <w:pPr>
        <w:pBdr>
          <w:bottom w:val="single" w:sz="4" w:space="1" w:color="auto"/>
        </w:pBdr>
        <w:spacing w:after="0" w:line="240" w:lineRule="auto"/>
        <w:contextualSpacing/>
        <w:jc w:val="both"/>
        <w:rPr>
          <w:rFonts w:ascii="Times New Roman" w:hAnsi="Times New Roman"/>
          <w:bCs/>
          <w:sz w:val="20"/>
          <w:szCs w:val="20"/>
        </w:rPr>
        <w:sectPr w:rsidR="00DB7369" w:rsidRPr="006D4DC1" w:rsidSect="006D4DC1">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9" w:footer="709" w:gutter="0"/>
          <w:pgNumType w:start="42"/>
          <w:cols w:space="708"/>
          <w:titlePg/>
          <w:docGrid w:linePitch="360"/>
        </w:sectPr>
      </w:pPr>
      <w:r w:rsidRPr="006D4DC1">
        <w:rPr>
          <w:rFonts w:ascii="Times New Roman" w:hAnsi="Times New Roman"/>
          <w:b/>
          <w:sz w:val="20"/>
          <w:szCs w:val="20"/>
        </w:rPr>
        <w:t>Słowa kluczowe:</w:t>
      </w:r>
      <w:r w:rsidR="00F11F42" w:rsidRPr="006D4DC1">
        <w:rPr>
          <w:rFonts w:ascii="Times New Roman" w:hAnsi="Times New Roman"/>
          <w:b/>
          <w:sz w:val="20"/>
          <w:szCs w:val="20"/>
        </w:rPr>
        <w:t xml:space="preserve"> </w:t>
      </w:r>
      <w:r w:rsidR="006D4DC1" w:rsidRPr="006D4DC1">
        <w:rPr>
          <w:rFonts w:ascii="Times New Roman" w:hAnsi="Times New Roman"/>
          <w:bCs/>
          <w:sz w:val="20"/>
          <w:szCs w:val="20"/>
        </w:rPr>
        <w:t>dekarbonizacja przemysłu, przepustowość sieci elektroenergetycznej, Chiny, ograniczenia sieci, zero netto, elektryfikacja, emisja CO</w:t>
      </w:r>
      <w:r w:rsidR="006D4DC1" w:rsidRPr="006D4DC1">
        <w:rPr>
          <w:rFonts w:ascii="Times New Roman" w:hAnsi="Times New Roman"/>
          <w:bCs/>
          <w:sz w:val="20"/>
          <w:szCs w:val="20"/>
          <w:vertAlign w:val="subscript"/>
        </w:rPr>
        <w:t>2</w:t>
      </w:r>
    </w:p>
    <w:p w14:paraId="2A41C004" w14:textId="77777777" w:rsidR="00EE444D" w:rsidRPr="006D4DC1" w:rsidRDefault="00EE444D" w:rsidP="00F11F42">
      <w:pPr>
        <w:spacing w:after="0" w:line="240" w:lineRule="auto"/>
        <w:contextualSpacing/>
        <w:jc w:val="both"/>
        <w:rPr>
          <w:rFonts w:ascii="Times New Roman" w:hAnsi="Times New Roman"/>
          <w:b/>
          <w:sz w:val="20"/>
          <w:szCs w:val="20"/>
        </w:rPr>
        <w:sectPr w:rsidR="00EE444D" w:rsidRPr="006D4DC1" w:rsidSect="00D953FB">
          <w:type w:val="continuous"/>
          <w:pgSz w:w="11906" w:h="16838"/>
          <w:pgMar w:top="1418" w:right="1418" w:bottom="1418" w:left="1418" w:header="709" w:footer="709" w:gutter="0"/>
          <w:pgNumType w:start="69"/>
          <w:cols w:num="2" w:space="709"/>
          <w:titlePg/>
          <w:docGrid w:linePitch="360"/>
        </w:sectPr>
      </w:pPr>
    </w:p>
    <w:p w14:paraId="045DF4AF" w14:textId="77777777" w:rsidR="008813F9" w:rsidRDefault="008813F9">
      <w:pPr>
        <w:numPr>
          <w:ilvl w:val="0"/>
          <w:numId w:val="2"/>
        </w:numPr>
        <w:spacing w:after="0" w:line="240" w:lineRule="auto"/>
        <w:jc w:val="both"/>
        <w:rPr>
          <w:rFonts w:ascii="Times New Roman" w:hAnsi="Times New Roman"/>
          <w:b/>
          <w:bCs/>
          <w:color w:val="000000" w:themeColor="text1"/>
          <w:sz w:val="20"/>
          <w:szCs w:val="20"/>
        </w:rPr>
      </w:pPr>
      <w:proofErr w:type="spellStart"/>
      <w:r w:rsidRPr="008813F9">
        <w:rPr>
          <w:rFonts w:ascii="Times New Roman" w:hAnsi="Times New Roman"/>
          <w:b/>
          <w:bCs/>
          <w:color w:val="000000" w:themeColor="text1"/>
          <w:sz w:val="20"/>
          <w:szCs w:val="20"/>
        </w:rPr>
        <w:t>Introduction</w:t>
      </w:r>
      <w:proofErr w:type="spellEnd"/>
    </w:p>
    <w:p w14:paraId="72DE748C" w14:textId="77777777" w:rsidR="008813F9" w:rsidRPr="008813F9" w:rsidRDefault="008813F9" w:rsidP="008813F9">
      <w:pPr>
        <w:spacing w:after="0" w:line="240" w:lineRule="auto"/>
        <w:ind w:left="360"/>
        <w:jc w:val="both"/>
        <w:rPr>
          <w:rFonts w:ascii="Times New Roman" w:hAnsi="Times New Roman"/>
          <w:b/>
          <w:bCs/>
          <w:color w:val="000000" w:themeColor="text1"/>
          <w:sz w:val="20"/>
          <w:szCs w:val="20"/>
        </w:rPr>
      </w:pPr>
    </w:p>
    <w:p w14:paraId="238094F3"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China plays a pivotal role in the global effort to address climate change. As the world’s largest emitter of greenhouse gases (IEA, 2023a) and the top industrial producer, China’s commitment to peak emissions before 2030 and reach carbon neutrality by 2060 has drawn international attention (UNEP, 2023; Zhang et al., 2021). The industrial sector alone accounts for more than 60% of China’s total energy-related CO</w:t>
      </w:r>
      <w:r w:rsidRPr="008813F9">
        <w:rPr>
          <w:rFonts w:ascii="Times New Roman" w:hAnsi="Times New Roman"/>
          <w:color w:val="000000" w:themeColor="text1"/>
          <w:sz w:val="20"/>
          <w:szCs w:val="20"/>
          <w:vertAlign w:val="subscript"/>
          <w:lang w:val="en-US"/>
        </w:rPr>
        <w:t>2</w:t>
      </w:r>
      <w:r w:rsidRPr="008813F9">
        <w:rPr>
          <w:rFonts w:ascii="Times New Roman" w:hAnsi="Times New Roman"/>
          <w:color w:val="000000" w:themeColor="text1"/>
          <w:sz w:val="20"/>
          <w:szCs w:val="20"/>
          <w:lang w:val="en-US"/>
        </w:rPr>
        <w:t xml:space="preserve"> emissions, mainly from high-carbon activities such as steelmaking, cement, and chemical production (Liu et al., 2022; Wang &amp; Lin, 2020).</w:t>
      </w:r>
    </w:p>
    <w:p w14:paraId="16DEEAAC"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 xml:space="preserve">To achieve deep decarbonization, China’s strategy includes transitioning to low-carbon fuels, improving energy efficiency, and electrifying industrial processes (MIIT, 2022; Xinhua, 2021). Among these measures, electrification is gaining momentum due to China’s rapid growth in renewable energy capacity and digital energy infrastructure (IEA, 2023b; Ren21, 2023). Electrification of industrial heat, motor systems, and other processes can significantly reduce direct emissions, especially when powered by clean electricity (Zhou et al., 2021; </w:t>
      </w:r>
      <w:proofErr w:type="spellStart"/>
      <w:r w:rsidRPr="008813F9">
        <w:rPr>
          <w:rFonts w:ascii="Times New Roman" w:hAnsi="Times New Roman"/>
          <w:color w:val="000000" w:themeColor="text1"/>
          <w:sz w:val="20"/>
          <w:szCs w:val="20"/>
          <w:lang w:val="en-US"/>
        </w:rPr>
        <w:t>Hasanbeigi</w:t>
      </w:r>
      <w:proofErr w:type="spellEnd"/>
      <w:r w:rsidRPr="008813F9">
        <w:rPr>
          <w:rFonts w:ascii="Times New Roman" w:hAnsi="Times New Roman"/>
          <w:color w:val="000000" w:themeColor="text1"/>
          <w:sz w:val="20"/>
          <w:szCs w:val="20"/>
          <w:lang w:val="en-US"/>
        </w:rPr>
        <w:t xml:space="preserve"> et al., 2020).</w:t>
      </w:r>
    </w:p>
    <w:p w14:paraId="00DD8B66" w14:textId="0129A930"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However, increasing electricity demand across sectors</w:t>
      </w:r>
      <w:r>
        <w:rPr>
          <w:rFonts w:ascii="Times New Roman" w:hAnsi="Times New Roman"/>
          <w:color w:val="000000" w:themeColor="text1"/>
          <w:sz w:val="20"/>
          <w:szCs w:val="20"/>
          <w:lang w:val="en-US"/>
        </w:rPr>
        <w:t xml:space="preserve"> – </w:t>
      </w:r>
      <w:r w:rsidRPr="008813F9">
        <w:rPr>
          <w:rFonts w:ascii="Times New Roman" w:hAnsi="Times New Roman"/>
          <w:color w:val="000000" w:themeColor="text1"/>
          <w:sz w:val="20"/>
          <w:szCs w:val="20"/>
          <w:lang w:val="en-US"/>
        </w:rPr>
        <w:t>from industry, transport, and buildings</w:t>
      </w:r>
      <w:r>
        <w:rPr>
          <w:rFonts w:ascii="Times New Roman" w:hAnsi="Times New Roman"/>
          <w:color w:val="000000" w:themeColor="text1"/>
          <w:sz w:val="20"/>
          <w:szCs w:val="20"/>
          <w:lang w:val="en-US"/>
        </w:rPr>
        <w:t xml:space="preserve"> – </w:t>
      </w:r>
      <w:r w:rsidRPr="008813F9">
        <w:rPr>
          <w:rFonts w:ascii="Times New Roman" w:hAnsi="Times New Roman"/>
          <w:color w:val="000000" w:themeColor="text1"/>
          <w:sz w:val="20"/>
          <w:szCs w:val="20"/>
          <w:lang w:val="en-US"/>
        </w:rPr>
        <w:t>will place unprecedented pressure on China’s electricity network (State Grid Corporation, 2023; Yu &amp; Zhang, 2022). Without adequate investment in transmission and distribution capacity, grid bottlenecks could undermine decarbonization targets. The issue is especially acute in western and central provinces where heavy industry is concentrated, but grid capacity expansion lags behind demand (Cao et al., 2023; Liu et al., 2021).</w:t>
      </w:r>
    </w:p>
    <w:p w14:paraId="4E398366"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Despite China’s focus on energy transition in its 14th Five-Year Plan and dual carbon goals (NDRC, 2021; NEA, 2023), limited research has examined whether electricity network infrastructure will be sufficient to support industrial decarbonization at a regional level. Prior studies have often focused on national-level trends (Zhang &amp; Gallagher, 2016), sector-specific carbon reduction (Feng et al., 2020), or general energy system modeling (Jin et al., 2023), with insufficient attention to the geographic mismatch between grid headroom and industrial demand (Zhang et al., 2022).</w:t>
      </w:r>
    </w:p>
    <w:p w14:paraId="0F72B481"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This study addresses that gap by providing a spatially disaggregated analysis of electricity grid readiness for industrial electrification. By integrating electricity demand projections under three decarbonization scenarios with provincial-level grid capacity data, this paper identifies regional disparities in network preparedness and highlights potential constraints on industrial sites. The focus on spatial alignment between demand and infrastructure distinguishes this paper from previous work.</w:t>
      </w:r>
    </w:p>
    <w:p w14:paraId="3E836CA4"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This research also contributes to the broader discourse on sustainable development by directly addressing key dimensions of the 2030 Agenda. It supports SDG 13 (Climate Action) through emissions mitigation, SDG 9 (Industry, Innovation, and Infrastructure) through industrial transformation, and SDG 7 (Affordable and Clean Energy) by assessing electricity system readiness. The analysis also considers social equity implications (SDG 10) by highlighting regional disparities in grid access. Furthermore, the study aligns with China’s national vision of ecological civilization—a governance strategy that integrates environmental stewardship, technological modernization, and inclusive growth. By evaluating grid constraints through this multidimensional lens, the paper offers policy-relevant insights for ensuring a just and sustainable energy transition.</w:t>
      </w:r>
    </w:p>
    <w:p w14:paraId="52EB96C2" w14:textId="77777777" w:rsid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The rest of the paper is organized as follows. Section 2 presents the methodology, including data sources, modeling framework, and constraint analysis. Section 3 provides the main findings on electricity capacity needs, constrained regions, and implications for emissions. Section 4 discusses key insights for energy policy, planning, and investment. Section 5 concludes with recommendations to ensure grid readiness for industrial decarbonization.</w:t>
      </w:r>
    </w:p>
    <w:p w14:paraId="24978BE5" w14:textId="77777777" w:rsidR="008813F9" w:rsidRDefault="008813F9" w:rsidP="008813F9">
      <w:pPr>
        <w:spacing w:after="0" w:line="240" w:lineRule="auto"/>
        <w:jc w:val="both"/>
        <w:rPr>
          <w:rFonts w:ascii="Times New Roman" w:hAnsi="Times New Roman"/>
          <w:color w:val="000000" w:themeColor="text1"/>
          <w:sz w:val="20"/>
          <w:szCs w:val="20"/>
          <w:lang w:val="en-US"/>
        </w:rPr>
      </w:pPr>
    </w:p>
    <w:p w14:paraId="006C3A09" w14:textId="77777777" w:rsidR="003D6628" w:rsidRDefault="003D6628" w:rsidP="008813F9">
      <w:pPr>
        <w:spacing w:after="0" w:line="240" w:lineRule="auto"/>
        <w:jc w:val="both"/>
        <w:rPr>
          <w:rFonts w:ascii="Times New Roman" w:hAnsi="Times New Roman"/>
          <w:color w:val="000000" w:themeColor="text1"/>
          <w:sz w:val="20"/>
          <w:szCs w:val="20"/>
          <w:lang w:val="en-US"/>
        </w:rPr>
      </w:pPr>
    </w:p>
    <w:p w14:paraId="04B80F82" w14:textId="77777777" w:rsidR="003D6628" w:rsidRDefault="003D6628" w:rsidP="008813F9">
      <w:pPr>
        <w:spacing w:after="0" w:line="240" w:lineRule="auto"/>
        <w:jc w:val="both"/>
        <w:rPr>
          <w:rFonts w:ascii="Times New Roman" w:hAnsi="Times New Roman"/>
          <w:color w:val="000000" w:themeColor="text1"/>
          <w:sz w:val="20"/>
          <w:szCs w:val="20"/>
          <w:lang w:val="en-US"/>
        </w:rPr>
      </w:pPr>
    </w:p>
    <w:p w14:paraId="02E7A33A" w14:textId="77777777" w:rsidR="003D6628" w:rsidRPr="008813F9" w:rsidRDefault="003D6628" w:rsidP="008813F9">
      <w:pPr>
        <w:spacing w:after="0" w:line="240" w:lineRule="auto"/>
        <w:jc w:val="both"/>
        <w:rPr>
          <w:rFonts w:ascii="Times New Roman" w:hAnsi="Times New Roman"/>
          <w:color w:val="000000" w:themeColor="text1"/>
          <w:sz w:val="20"/>
          <w:szCs w:val="20"/>
          <w:lang w:val="en-US"/>
        </w:rPr>
      </w:pPr>
    </w:p>
    <w:p w14:paraId="33037FBF" w14:textId="49785FA6" w:rsidR="008813F9" w:rsidRDefault="008813F9">
      <w:pPr>
        <w:pStyle w:val="Akapitzlist"/>
        <w:numPr>
          <w:ilvl w:val="0"/>
          <w:numId w:val="2"/>
        </w:numPr>
        <w:spacing w:after="0" w:line="240" w:lineRule="auto"/>
        <w:jc w:val="both"/>
        <w:rPr>
          <w:rFonts w:ascii="Times New Roman" w:hAnsi="Times New Roman"/>
          <w:b/>
          <w:bCs/>
          <w:color w:val="000000" w:themeColor="text1"/>
          <w:sz w:val="20"/>
          <w:szCs w:val="20"/>
          <w:lang w:val="en-US"/>
        </w:rPr>
      </w:pPr>
      <w:r w:rsidRPr="008813F9">
        <w:rPr>
          <w:rFonts w:ascii="Times New Roman" w:hAnsi="Times New Roman"/>
          <w:b/>
          <w:bCs/>
          <w:color w:val="000000" w:themeColor="text1"/>
          <w:sz w:val="20"/>
          <w:szCs w:val="20"/>
          <w:lang w:val="en-US"/>
        </w:rPr>
        <w:lastRenderedPageBreak/>
        <w:t xml:space="preserve">Literature </w:t>
      </w:r>
      <w:r>
        <w:rPr>
          <w:rFonts w:ascii="Times New Roman" w:hAnsi="Times New Roman"/>
          <w:b/>
          <w:bCs/>
          <w:color w:val="000000" w:themeColor="text1"/>
          <w:sz w:val="20"/>
          <w:szCs w:val="20"/>
          <w:lang w:val="en-US"/>
        </w:rPr>
        <w:t>r</w:t>
      </w:r>
      <w:r w:rsidRPr="008813F9">
        <w:rPr>
          <w:rFonts w:ascii="Times New Roman" w:hAnsi="Times New Roman"/>
          <w:b/>
          <w:bCs/>
          <w:color w:val="000000" w:themeColor="text1"/>
          <w:sz w:val="20"/>
          <w:szCs w:val="20"/>
          <w:lang w:val="en-US"/>
        </w:rPr>
        <w:t>eview</w:t>
      </w:r>
    </w:p>
    <w:p w14:paraId="008FA00A" w14:textId="77777777" w:rsidR="008813F9" w:rsidRPr="008813F9" w:rsidRDefault="008813F9" w:rsidP="008813F9">
      <w:pPr>
        <w:pStyle w:val="Akapitzlist"/>
        <w:spacing w:after="0" w:line="240" w:lineRule="auto"/>
        <w:ind w:left="360"/>
        <w:jc w:val="both"/>
        <w:rPr>
          <w:rFonts w:ascii="Times New Roman" w:hAnsi="Times New Roman"/>
          <w:b/>
          <w:bCs/>
          <w:color w:val="000000" w:themeColor="text1"/>
          <w:sz w:val="20"/>
          <w:szCs w:val="20"/>
          <w:lang w:val="en-US"/>
        </w:rPr>
      </w:pPr>
    </w:p>
    <w:p w14:paraId="2848921D"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 xml:space="preserve">The decarbonization of industrial sectors has become a central pillar in global climate strategies, particularly for major emitters like China. Industry accounts for nearly 30% of global CO₂ emissions and over 60% in China, making it a focal point for energy transitions (IEA, 2023; Liu et al., 2022). Multiple studies have examined low-carbon industrial pathways, highlighting the role of fuel switching, energy efficiency, and increasing electrification (Zhou et al., 2021; </w:t>
      </w:r>
      <w:proofErr w:type="spellStart"/>
      <w:r w:rsidRPr="008813F9">
        <w:rPr>
          <w:rFonts w:ascii="Times New Roman" w:hAnsi="Times New Roman"/>
          <w:color w:val="000000" w:themeColor="text1"/>
          <w:sz w:val="20"/>
          <w:szCs w:val="20"/>
          <w:lang w:val="en-US"/>
        </w:rPr>
        <w:t>Hasanbeigi</w:t>
      </w:r>
      <w:proofErr w:type="spellEnd"/>
      <w:r w:rsidRPr="008813F9">
        <w:rPr>
          <w:rFonts w:ascii="Times New Roman" w:hAnsi="Times New Roman"/>
          <w:color w:val="000000" w:themeColor="text1"/>
          <w:sz w:val="20"/>
          <w:szCs w:val="20"/>
          <w:lang w:val="en-US"/>
        </w:rPr>
        <w:t xml:space="preserve"> et al., 2020).</w:t>
      </w:r>
    </w:p>
    <w:p w14:paraId="031A2035"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Electrification, in particular, is increasingly recognized as the most scalable and efficient decarbonization strategy for high-temperature industrial processes (Zhang et al., 2021; REN21, 2023). Emerging technologies such as electric boilers, induction furnaces, and high-efficiency heat pumps are commercially available and increasingly cost-competitive. Yet, electrification strategies depend heavily on the adequacy of electricity infrastructure—a theme that has received less attention in the literature.</w:t>
      </w:r>
    </w:p>
    <w:p w14:paraId="1C52312D" w14:textId="79003589"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Electricity network constraints are now considered a critical bottleneck in decarbonization strategies (ETC, 2021; Chen et al., 2022). While global studies</w:t>
      </w:r>
      <w:r w:rsidR="000457EA">
        <w:rPr>
          <w:rFonts w:ascii="Times New Roman" w:hAnsi="Times New Roman"/>
          <w:color w:val="000000" w:themeColor="text1"/>
          <w:sz w:val="20"/>
          <w:szCs w:val="20"/>
          <w:lang w:val="en-US"/>
        </w:rPr>
        <w:t xml:space="preserve"> – </w:t>
      </w:r>
      <w:r w:rsidRPr="008813F9">
        <w:rPr>
          <w:rFonts w:ascii="Times New Roman" w:hAnsi="Times New Roman"/>
          <w:color w:val="000000" w:themeColor="text1"/>
          <w:sz w:val="20"/>
          <w:szCs w:val="20"/>
          <w:lang w:val="en-US"/>
        </w:rPr>
        <w:t>especially in Europe and the UK</w:t>
      </w:r>
      <w:r w:rsidR="000457EA">
        <w:rPr>
          <w:rFonts w:ascii="Times New Roman" w:hAnsi="Times New Roman"/>
          <w:color w:val="000000" w:themeColor="text1"/>
          <w:sz w:val="20"/>
          <w:szCs w:val="20"/>
          <w:lang w:val="en-US"/>
        </w:rPr>
        <w:t xml:space="preserve"> – </w:t>
      </w:r>
      <w:r w:rsidRPr="008813F9">
        <w:rPr>
          <w:rFonts w:ascii="Times New Roman" w:hAnsi="Times New Roman"/>
          <w:color w:val="000000" w:themeColor="text1"/>
          <w:sz w:val="20"/>
          <w:szCs w:val="20"/>
          <w:lang w:val="en-US"/>
        </w:rPr>
        <w:t>have begun mapping electric grid readiness for energy transition (Gailani &amp; Taylor, 2025; Ramachandran et al., 2022), similar assessments in China remain limited. Most Chinese energy system models focus on macro-level generation capacity, carbon intensity, and system costs (Jin et al., 2023), without considering regional grid constraints.</w:t>
      </w:r>
    </w:p>
    <w:p w14:paraId="18354D5D"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Recent efforts, such as the China Electricity Council (2023) and the National Energy Administration (NEA, 2023), highlight the growing concern over transmission and distribution bottlenecks, especially in inland provinces where heavy industry is concentrated. Studies by Liu et al. (2021) and Zhang &amp; Li (2023) confirm that even with sufficient national generation capacity, regional disparities in network infrastructure could result in grid congestion and electrification delays.</w:t>
      </w:r>
    </w:p>
    <w:p w14:paraId="4FE5B43D" w14:textId="36A7A620"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Moreover, the integration of network constraints into decarbonization modeling remains underdeveloped. Jin et al. (2023) call for next-generation models that include geospatial optimization and infrastructure bottlenecks</w:t>
      </w:r>
      <w:r w:rsidR="000457EA">
        <w:rPr>
          <w:rFonts w:ascii="Times New Roman" w:hAnsi="Times New Roman"/>
          <w:color w:val="000000" w:themeColor="text1"/>
          <w:sz w:val="20"/>
          <w:szCs w:val="20"/>
          <w:lang w:val="en-US"/>
        </w:rPr>
        <w:t xml:space="preserve"> -  </w:t>
      </w:r>
      <w:r w:rsidRPr="008813F9">
        <w:rPr>
          <w:rFonts w:ascii="Times New Roman" w:hAnsi="Times New Roman"/>
          <w:color w:val="000000" w:themeColor="text1"/>
          <w:sz w:val="20"/>
          <w:szCs w:val="20"/>
          <w:lang w:val="en-US"/>
        </w:rPr>
        <w:t>methods rarely used in policy planning today. Dynamic and spatially explicit modeling approaches, such as those used in the UK by Gailani &amp; Taylor (2025), can provide a template for China’s infrastructure planning.</w:t>
      </w:r>
    </w:p>
    <w:p w14:paraId="3A405EA1"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Policy research emphasizes the importance of coordination between industrial policy, grid investment, and land-use planning (UNEP, 2023; Cao et al., 2023). However, in China, grid development is often treated as a reactive process, lagging behind industrial and environmental planning goals (State Grid Corporation, 2023).</w:t>
      </w:r>
    </w:p>
    <w:p w14:paraId="527B117E"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 xml:space="preserve">Internationally, studies from countries such as the UK, Germany, and India (e.g., Gailani &amp; Taylor, 2025; </w:t>
      </w:r>
      <w:proofErr w:type="spellStart"/>
      <w:r w:rsidRPr="008813F9">
        <w:rPr>
          <w:rFonts w:ascii="Times New Roman" w:hAnsi="Times New Roman"/>
          <w:color w:val="000000" w:themeColor="text1"/>
          <w:sz w:val="20"/>
          <w:szCs w:val="20"/>
          <w:lang w:val="en-US"/>
        </w:rPr>
        <w:t>Aghahosseini</w:t>
      </w:r>
      <w:proofErr w:type="spellEnd"/>
      <w:r w:rsidRPr="008813F9">
        <w:rPr>
          <w:rFonts w:ascii="Times New Roman" w:hAnsi="Times New Roman"/>
          <w:color w:val="000000" w:themeColor="text1"/>
          <w:sz w:val="20"/>
          <w:szCs w:val="20"/>
          <w:lang w:val="en-US"/>
        </w:rPr>
        <w:t xml:space="preserve"> et al., 2021) have explored how infrastructure gaps constrain decarbonization. However, China’s case is more complex due to its geographic scale and industrial concentration. Unlike most OECD countries, China's policy discourse is guided by dual-carbon goals and the ecological civilization framework, which links environmental performance with social harmony and long-term economic resilience. As the global literature increasingly ties energy transition research to the Sustainable Development Goals (SDGs), this study extends that perspective to China’s industrial grid bottlenecks. It reinforces the international relevance of infrastructure planning as a foundation for green growth, while recognizing that China's unique trajectory requires tailored solutions aligned with universal sustainability principles.</w:t>
      </w:r>
    </w:p>
    <w:p w14:paraId="565AE1CB" w14:textId="77777777" w:rsid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This literature review identifies a critical gap in the empirical and modeling literature: the need for spatially disaggregated, sector-specific assessments of electricity network readiness to support industrial decarbonization. This paper addresses this gap by providing the first nationwide analysis that integrates projected industrial electricity demand with grid capacity constraints at the provincial level, using scenario-based spatial modeling.</w:t>
      </w:r>
    </w:p>
    <w:p w14:paraId="64570EDA"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p>
    <w:p w14:paraId="77950C79" w14:textId="47330182" w:rsidR="008813F9" w:rsidRPr="008813F9" w:rsidRDefault="008813F9">
      <w:pPr>
        <w:pStyle w:val="Akapitzlist"/>
        <w:numPr>
          <w:ilvl w:val="0"/>
          <w:numId w:val="2"/>
        </w:numPr>
        <w:spacing w:after="0" w:line="240" w:lineRule="auto"/>
        <w:jc w:val="both"/>
        <w:rPr>
          <w:rFonts w:ascii="Times New Roman" w:hAnsi="Times New Roman"/>
          <w:b/>
          <w:bCs/>
          <w:color w:val="000000" w:themeColor="text1"/>
          <w:sz w:val="20"/>
          <w:szCs w:val="20"/>
          <w:lang w:val="en-US"/>
        </w:rPr>
      </w:pPr>
      <w:r w:rsidRPr="008813F9">
        <w:rPr>
          <w:rFonts w:ascii="Times New Roman" w:hAnsi="Times New Roman"/>
          <w:b/>
          <w:bCs/>
          <w:color w:val="000000" w:themeColor="text1"/>
          <w:sz w:val="20"/>
          <w:szCs w:val="20"/>
          <w:lang w:val="en-US"/>
        </w:rPr>
        <w:t>Conceptual framework</w:t>
      </w:r>
    </w:p>
    <w:p w14:paraId="5220964E" w14:textId="77777777" w:rsidR="008813F9" w:rsidRPr="008813F9" w:rsidRDefault="008813F9" w:rsidP="008813F9">
      <w:pPr>
        <w:pStyle w:val="Akapitzlist"/>
        <w:spacing w:after="0" w:line="240" w:lineRule="auto"/>
        <w:ind w:left="360"/>
        <w:jc w:val="both"/>
        <w:rPr>
          <w:rFonts w:ascii="Times New Roman" w:hAnsi="Times New Roman"/>
          <w:b/>
          <w:bCs/>
          <w:color w:val="000000" w:themeColor="text1"/>
          <w:sz w:val="20"/>
          <w:szCs w:val="20"/>
          <w:lang w:val="en-US"/>
        </w:rPr>
      </w:pPr>
    </w:p>
    <w:p w14:paraId="2C0C7518"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 xml:space="preserve">The nexus between industrial decarbonization and electricity infrastructure is increasingly understood as a multi-dimensional systems problem. This study is grounded in an integrated conceptual framework that combines elements from the </w:t>
      </w:r>
      <w:r w:rsidRPr="008813F9">
        <w:rPr>
          <w:rFonts w:ascii="Times New Roman" w:hAnsi="Times New Roman"/>
          <w:b/>
          <w:bCs/>
          <w:color w:val="000000" w:themeColor="text1"/>
          <w:sz w:val="20"/>
          <w:szCs w:val="20"/>
          <w:lang w:val="en-US"/>
        </w:rPr>
        <w:t>Energy Justice</w:t>
      </w:r>
      <w:r w:rsidRPr="008813F9">
        <w:rPr>
          <w:rFonts w:ascii="Times New Roman" w:hAnsi="Times New Roman"/>
          <w:color w:val="000000" w:themeColor="text1"/>
          <w:sz w:val="20"/>
          <w:szCs w:val="20"/>
          <w:lang w:val="en-US"/>
        </w:rPr>
        <w:t xml:space="preserve">, </w:t>
      </w:r>
      <w:r w:rsidRPr="008813F9">
        <w:rPr>
          <w:rFonts w:ascii="Times New Roman" w:hAnsi="Times New Roman"/>
          <w:b/>
          <w:bCs/>
          <w:color w:val="000000" w:themeColor="text1"/>
          <w:sz w:val="20"/>
          <w:szCs w:val="20"/>
          <w:lang w:val="en-US"/>
        </w:rPr>
        <w:t>Just Transition</w:t>
      </w:r>
      <w:r w:rsidRPr="008813F9">
        <w:rPr>
          <w:rFonts w:ascii="Times New Roman" w:hAnsi="Times New Roman"/>
          <w:color w:val="000000" w:themeColor="text1"/>
          <w:sz w:val="20"/>
          <w:szCs w:val="20"/>
          <w:lang w:val="en-US"/>
        </w:rPr>
        <w:t xml:space="preserve">, and </w:t>
      </w:r>
      <w:r w:rsidRPr="008813F9">
        <w:rPr>
          <w:rFonts w:ascii="Times New Roman" w:hAnsi="Times New Roman"/>
          <w:b/>
          <w:bCs/>
          <w:color w:val="000000" w:themeColor="text1"/>
          <w:sz w:val="20"/>
          <w:szCs w:val="20"/>
          <w:lang w:val="en-US"/>
        </w:rPr>
        <w:t>Grid-Ready Decarbonization</w:t>
      </w:r>
      <w:r w:rsidRPr="008813F9">
        <w:rPr>
          <w:rFonts w:ascii="Times New Roman" w:hAnsi="Times New Roman"/>
          <w:color w:val="000000" w:themeColor="text1"/>
          <w:sz w:val="20"/>
          <w:szCs w:val="20"/>
          <w:lang w:val="en-US"/>
        </w:rPr>
        <w:t xml:space="preserve"> paradigms (</w:t>
      </w:r>
      <w:proofErr w:type="spellStart"/>
      <w:r w:rsidRPr="008813F9">
        <w:rPr>
          <w:rFonts w:ascii="Times New Roman" w:hAnsi="Times New Roman"/>
          <w:color w:val="000000" w:themeColor="text1"/>
          <w:sz w:val="20"/>
          <w:szCs w:val="20"/>
          <w:lang w:val="en-US"/>
        </w:rPr>
        <w:t>Sovacool</w:t>
      </w:r>
      <w:proofErr w:type="spellEnd"/>
      <w:r w:rsidRPr="008813F9">
        <w:rPr>
          <w:rFonts w:ascii="Times New Roman" w:hAnsi="Times New Roman"/>
          <w:color w:val="000000" w:themeColor="text1"/>
          <w:sz w:val="20"/>
          <w:szCs w:val="20"/>
          <w:lang w:val="en-US"/>
        </w:rPr>
        <w:t xml:space="preserve"> et al., 2021; Bataille, 2020; Brown et al., 2018).</w:t>
      </w:r>
    </w:p>
    <w:p w14:paraId="74F4EC5D"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 xml:space="preserve">At the core of this framework lies the recognition that industrial decarbonization is no longer constrained solely by technological maturity or cost. Instead, </w:t>
      </w:r>
      <w:r w:rsidRPr="008813F9">
        <w:rPr>
          <w:rFonts w:ascii="Times New Roman" w:hAnsi="Times New Roman"/>
          <w:b/>
          <w:bCs/>
          <w:color w:val="000000" w:themeColor="text1"/>
          <w:sz w:val="20"/>
          <w:szCs w:val="20"/>
          <w:lang w:val="en-US"/>
        </w:rPr>
        <w:t>grid availability, regional capacity disparity, and spatial mismatches</w:t>
      </w:r>
      <w:r w:rsidRPr="008813F9">
        <w:rPr>
          <w:rFonts w:ascii="Times New Roman" w:hAnsi="Times New Roman"/>
          <w:color w:val="000000" w:themeColor="text1"/>
          <w:sz w:val="20"/>
          <w:szCs w:val="20"/>
          <w:lang w:val="en-US"/>
        </w:rPr>
        <w:t xml:space="preserve"> between supply and demand have emerged as binding constraints (IEA, 2023; Zhang &amp; Li, 2023).</w:t>
      </w:r>
    </w:p>
    <w:p w14:paraId="731C9309"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This conceptual model rests on three interconnected pillars:</w:t>
      </w:r>
    </w:p>
    <w:p w14:paraId="5BC8A7E6" w14:textId="77777777" w:rsidR="008813F9" w:rsidRPr="008813F9" w:rsidRDefault="008813F9">
      <w:pPr>
        <w:numPr>
          <w:ilvl w:val="0"/>
          <w:numId w:val="15"/>
        </w:num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Demand-Side Electrification Pressures</w:t>
      </w:r>
    </w:p>
    <w:p w14:paraId="2A41A5CD" w14:textId="3BDE19B1" w:rsidR="008813F9" w:rsidRPr="008813F9" w:rsidRDefault="008813F9" w:rsidP="008813F9">
      <w:pPr>
        <w:spacing w:after="0" w:line="240" w:lineRule="auto"/>
        <w:ind w:left="360"/>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Industries such as steel, cement, chemicals, and food processing are transitioning toward high-capacity electric technologies (e.g., electric arc furnaces, high-temperature heat pumps). This electrification increases regional electricity load sharply and unevenly (Fan et al., 2022).</w:t>
      </w:r>
    </w:p>
    <w:p w14:paraId="705D046C" w14:textId="77777777" w:rsidR="008813F9" w:rsidRPr="008813F9" w:rsidRDefault="008813F9">
      <w:pPr>
        <w:numPr>
          <w:ilvl w:val="0"/>
          <w:numId w:val="15"/>
        </w:num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Grid-Readiness as a Spatial Constraint</w:t>
      </w:r>
    </w:p>
    <w:p w14:paraId="338261BF" w14:textId="3B7F90DB" w:rsidR="008813F9" w:rsidRPr="008813F9" w:rsidRDefault="008813F9" w:rsidP="008813F9">
      <w:pPr>
        <w:spacing w:after="0" w:line="240" w:lineRule="auto"/>
        <w:ind w:left="360"/>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 xml:space="preserve">Electricity infrastructure is regionally differentiated. Many inland provinces in China with high industrial activity (e.g., Shanxi, Inner Mongolia, Henan) are not yet equipped with adequate transmission and substation </w:t>
      </w:r>
      <w:r w:rsidRPr="008813F9">
        <w:rPr>
          <w:rFonts w:ascii="Times New Roman" w:hAnsi="Times New Roman"/>
          <w:color w:val="000000" w:themeColor="text1"/>
          <w:sz w:val="20"/>
          <w:szCs w:val="20"/>
          <w:lang w:val="en-US"/>
        </w:rPr>
        <w:lastRenderedPageBreak/>
        <w:t>headroom. Grid constraints therefore become de facto limits on decarbonization potential (Wang et al., 2023; Wu &amp; Xu, 2023).</w:t>
      </w:r>
    </w:p>
    <w:p w14:paraId="1511DACD" w14:textId="77777777" w:rsidR="008813F9" w:rsidRPr="008813F9" w:rsidRDefault="008813F9">
      <w:pPr>
        <w:numPr>
          <w:ilvl w:val="0"/>
          <w:numId w:val="15"/>
        </w:num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Equity and Transition Timing</w:t>
      </w:r>
    </w:p>
    <w:p w14:paraId="2BEC9FAD" w14:textId="65911AC8" w:rsidR="008813F9" w:rsidRPr="008813F9" w:rsidRDefault="008813F9" w:rsidP="008813F9">
      <w:pPr>
        <w:spacing w:after="0" w:line="240" w:lineRule="auto"/>
        <w:ind w:left="360"/>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 xml:space="preserve">Regions with grid bottlenecks risk being left behind in the energy transition. This creates risks of emissions lock-in, economic disruption, and regional inequity. The framework adopts a Just Transition lens, suggesting that policy must prioritize these vulnerable zones to prevent stranded carbon and social inequality (Tang et al., 2021; </w:t>
      </w:r>
      <w:proofErr w:type="spellStart"/>
      <w:r w:rsidRPr="008813F9">
        <w:rPr>
          <w:rFonts w:ascii="Times New Roman" w:hAnsi="Times New Roman"/>
          <w:color w:val="000000" w:themeColor="text1"/>
          <w:sz w:val="20"/>
          <w:szCs w:val="20"/>
          <w:lang w:val="en-US"/>
        </w:rPr>
        <w:t>Sovacool</w:t>
      </w:r>
      <w:proofErr w:type="spellEnd"/>
      <w:r w:rsidRPr="008813F9">
        <w:rPr>
          <w:rFonts w:ascii="Times New Roman" w:hAnsi="Times New Roman"/>
          <w:color w:val="000000" w:themeColor="text1"/>
          <w:sz w:val="20"/>
          <w:szCs w:val="20"/>
          <w:lang w:val="en-US"/>
        </w:rPr>
        <w:t xml:space="preserve"> et al., 2021).</w:t>
      </w:r>
    </w:p>
    <w:p w14:paraId="03B3F154"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These elements are operationalized through a spatial modeling system that overlays industrial demand scenarios with substation capacity, producing a geospatial constraint map. This approach moves beyond theoretical abstraction to directly inform infrastructure planning and sectorial policy alignment.</w:t>
      </w:r>
    </w:p>
    <w:p w14:paraId="293DCDB4" w14:textId="22CB672A"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By integrating these, three pillars</w:t>
      </w:r>
      <w:r>
        <w:rPr>
          <w:rFonts w:ascii="Times New Roman" w:hAnsi="Times New Roman"/>
          <w:color w:val="000000" w:themeColor="text1"/>
          <w:sz w:val="20"/>
          <w:szCs w:val="20"/>
          <w:lang w:val="en-US"/>
        </w:rPr>
        <w:t xml:space="preserve"> – </w:t>
      </w:r>
      <w:r w:rsidRPr="008813F9">
        <w:rPr>
          <w:rFonts w:ascii="Times New Roman" w:hAnsi="Times New Roman"/>
          <w:color w:val="000000" w:themeColor="text1"/>
          <w:sz w:val="20"/>
          <w:szCs w:val="20"/>
          <w:lang w:val="en-US"/>
        </w:rPr>
        <w:t>electrification pressure, spatial infrastructure constraint, and transition equity</w:t>
      </w:r>
      <w:r>
        <w:rPr>
          <w:rFonts w:ascii="Times New Roman" w:hAnsi="Times New Roman"/>
          <w:color w:val="000000" w:themeColor="text1"/>
          <w:sz w:val="20"/>
          <w:szCs w:val="20"/>
          <w:lang w:val="en-US"/>
        </w:rPr>
        <w:t xml:space="preserve"> – </w:t>
      </w:r>
      <w:r w:rsidRPr="008813F9">
        <w:rPr>
          <w:rFonts w:ascii="Times New Roman" w:hAnsi="Times New Roman"/>
          <w:color w:val="000000" w:themeColor="text1"/>
          <w:sz w:val="20"/>
          <w:szCs w:val="20"/>
          <w:lang w:val="en-US"/>
        </w:rPr>
        <w:t>this paper provides a practical and policy-relevant lens to understand and act on the electricity-infrastructure-industrial emissions nexus.</w:t>
      </w:r>
    </w:p>
    <w:p w14:paraId="43092FFB" w14:textId="669A8268" w:rsid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 xml:space="preserve">In addition to energy and equity considerations, the framework integrates the broader sustainable development paradigm. It uses the SDGs as evaluative benchmarks to capture the environmental co-benefits (e.g., carbon mitigation under SDG 13), economic dimensions (industrial transformation under SDG 9), and social equity (regional access under SDG 10). The Chinese concept of </w:t>
      </w:r>
      <w:r w:rsidRPr="000457EA">
        <w:rPr>
          <w:rFonts w:ascii="Times New Roman" w:hAnsi="Times New Roman"/>
          <w:i/>
          <w:iCs/>
          <w:color w:val="000000" w:themeColor="text1"/>
          <w:sz w:val="20"/>
          <w:szCs w:val="20"/>
          <w:lang w:val="en-US"/>
        </w:rPr>
        <w:t>ecological civilization</w:t>
      </w:r>
      <w:r w:rsidRPr="008813F9">
        <w:rPr>
          <w:rFonts w:ascii="Times New Roman" w:hAnsi="Times New Roman"/>
          <w:color w:val="000000" w:themeColor="text1"/>
          <w:sz w:val="20"/>
          <w:szCs w:val="20"/>
          <w:lang w:val="en-US"/>
        </w:rPr>
        <w:t xml:space="preserve"> further embeds this transition within a long-term governance vision</w:t>
      </w:r>
      <w:r w:rsidR="000457EA">
        <w:rPr>
          <w:rFonts w:ascii="Times New Roman" w:hAnsi="Times New Roman"/>
          <w:color w:val="000000" w:themeColor="text1"/>
          <w:sz w:val="20"/>
          <w:szCs w:val="20"/>
          <w:lang w:val="en-US"/>
        </w:rPr>
        <w:t xml:space="preserve"> – </w:t>
      </w:r>
      <w:r w:rsidRPr="008813F9">
        <w:rPr>
          <w:rFonts w:ascii="Times New Roman" w:hAnsi="Times New Roman"/>
          <w:color w:val="000000" w:themeColor="text1"/>
          <w:sz w:val="20"/>
          <w:szCs w:val="20"/>
          <w:lang w:val="en-US"/>
        </w:rPr>
        <w:t>emphasizing environmental ethics, green modernization, and social inclusiveness. By incorporating these dimensions, the conceptual framework moves beyond technical modeling and offers a nationally grounded yet globally resonant lens for planning sustainable, just, and infrastructure-aware industrial decarbonization.</w:t>
      </w:r>
    </w:p>
    <w:p w14:paraId="1FE3AABA"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p>
    <w:p w14:paraId="528295DC" w14:textId="68D61C93" w:rsidR="008813F9" w:rsidRPr="008813F9" w:rsidRDefault="008813F9">
      <w:pPr>
        <w:pStyle w:val="Akapitzlist"/>
        <w:numPr>
          <w:ilvl w:val="0"/>
          <w:numId w:val="15"/>
        </w:numPr>
        <w:spacing w:after="0" w:line="240" w:lineRule="auto"/>
        <w:jc w:val="both"/>
        <w:rPr>
          <w:rFonts w:ascii="Times New Roman" w:hAnsi="Times New Roman"/>
          <w:b/>
          <w:bCs/>
          <w:color w:val="000000" w:themeColor="text1"/>
          <w:sz w:val="20"/>
          <w:szCs w:val="20"/>
        </w:rPr>
      </w:pPr>
      <w:proofErr w:type="spellStart"/>
      <w:r w:rsidRPr="008813F9">
        <w:rPr>
          <w:rFonts w:ascii="Times New Roman" w:hAnsi="Times New Roman"/>
          <w:b/>
          <w:bCs/>
          <w:color w:val="000000" w:themeColor="text1"/>
          <w:sz w:val="20"/>
          <w:szCs w:val="20"/>
        </w:rPr>
        <w:t>Methodology</w:t>
      </w:r>
      <w:proofErr w:type="spellEnd"/>
    </w:p>
    <w:p w14:paraId="7B935F7D" w14:textId="77777777" w:rsidR="008813F9" w:rsidRDefault="008813F9" w:rsidP="008813F9">
      <w:pPr>
        <w:spacing w:after="0" w:line="240" w:lineRule="auto"/>
        <w:jc w:val="both"/>
        <w:rPr>
          <w:rFonts w:ascii="Times New Roman" w:hAnsi="Times New Roman"/>
          <w:b/>
          <w:bCs/>
          <w:i/>
          <w:iCs/>
          <w:color w:val="000000" w:themeColor="text1"/>
          <w:sz w:val="20"/>
          <w:szCs w:val="20"/>
        </w:rPr>
      </w:pPr>
    </w:p>
    <w:p w14:paraId="76BC056A" w14:textId="24AF7E77" w:rsidR="008813F9" w:rsidRPr="008813F9" w:rsidRDefault="008813F9" w:rsidP="008813F9">
      <w:pPr>
        <w:spacing w:after="0" w:line="240" w:lineRule="auto"/>
        <w:jc w:val="both"/>
        <w:rPr>
          <w:rFonts w:ascii="Times New Roman" w:hAnsi="Times New Roman"/>
          <w:i/>
          <w:iCs/>
          <w:color w:val="000000" w:themeColor="text1"/>
          <w:sz w:val="20"/>
          <w:szCs w:val="20"/>
        </w:rPr>
      </w:pPr>
      <w:r w:rsidRPr="008813F9">
        <w:rPr>
          <w:rFonts w:ascii="Times New Roman" w:hAnsi="Times New Roman"/>
          <w:i/>
          <w:iCs/>
          <w:color w:val="000000" w:themeColor="text1"/>
          <w:sz w:val="20"/>
          <w:szCs w:val="20"/>
        </w:rPr>
        <w:t xml:space="preserve">4.1. Network </w:t>
      </w:r>
      <w:proofErr w:type="spellStart"/>
      <w:r w:rsidRPr="008813F9">
        <w:rPr>
          <w:rFonts w:ascii="Times New Roman" w:hAnsi="Times New Roman"/>
          <w:i/>
          <w:iCs/>
          <w:color w:val="000000" w:themeColor="text1"/>
          <w:sz w:val="20"/>
          <w:szCs w:val="20"/>
        </w:rPr>
        <w:t>headroom</w:t>
      </w:r>
      <w:proofErr w:type="spellEnd"/>
      <w:r w:rsidRPr="008813F9">
        <w:rPr>
          <w:rFonts w:ascii="Times New Roman" w:hAnsi="Times New Roman"/>
          <w:i/>
          <w:iCs/>
          <w:color w:val="000000" w:themeColor="text1"/>
          <w:sz w:val="20"/>
          <w:szCs w:val="20"/>
        </w:rPr>
        <w:t xml:space="preserve"> data</w:t>
      </w:r>
    </w:p>
    <w:p w14:paraId="2628B450"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The electricity demand headroom data for China was sourced from national grid development plans and regional forecasts provided by the State Grid Corporation of China (2023), China Southern Power Grid (2023), and provincial energy departments. Network headroom was defined as the thermal capacity margin available at substations after accounting for projected loads from all sectors, notably industry, transport electrification, and residential demand:</w:t>
      </w:r>
    </w:p>
    <w:p w14:paraId="029A1DD5" w14:textId="77777777" w:rsidR="008813F9" w:rsidRPr="008813F9" w:rsidRDefault="00000000" w:rsidP="008813F9">
      <w:pPr>
        <w:spacing w:after="0" w:line="240" w:lineRule="auto"/>
        <w:jc w:val="both"/>
        <w:rPr>
          <w:rFonts w:ascii="Times New Roman" w:hAnsi="Times New Roman"/>
          <w:color w:val="000000" w:themeColor="text1"/>
          <w:sz w:val="20"/>
          <w:szCs w:val="20"/>
          <w:lang w:val="en-US"/>
        </w:rPr>
      </w:pPr>
      <m:oMathPara>
        <m:oMath>
          <m:sSub>
            <m:sSubPr>
              <m:ctrlPr>
                <w:rPr>
                  <w:rFonts w:ascii="Cambria Math" w:hAnsi="Cambria Math"/>
                  <w:i/>
                  <w:color w:val="000000" w:themeColor="text1"/>
                  <w:sz w:val="20"/>
                  <w:szCs w:val="20"/>
                  <w:lang w:val="en-US"/>
                </w:rPr>
              </m:ctrlPr>
            </m:sSubPr>
            <m:e>
              <m:r>
                <w:rPr>
                  <w:rFonts w:ascii="Cambria Math" w:hAnsi="Cambria Math"/>
                  <w:color w:val="000000" w:themeColor="text1"/>
                  <w:sz w:val="20"/>
                  <w:szCs w:val="20"/>
                  <w:lang w:val="en-US"/>
                </w:rPr>
                <m:t>H</m:t>
              </m:r>
            </m:e>
            <m:sub>
              <m:r>
                <w:rPr>
                  <w:rFonts w:ascii="Cambria Math" w:hAnsi="Cambria Math"/>
                  <w:color w:val="000000" w:themeColor="text1"/>
                  <w:sz w:val="20"/>
                  <w:szCs w:val="20"/>
                  <w:lang w:val="en-US"/>
                </w:rPr>
                <m:t>j,t</m:t>
              </m:r>
            </m:sub>
          </m:sSub>
          <m:r>
            <w:rPr>
              <w:rFonts w:ascii="Cambria Math" w:hAnsi="Cambria Math"/>
              <w:color w:val="000000" w:themeColor="text1"/>
              <w:sz w:val="20"/>
              <w:szCs w:val="20"/>
              <w:lang w:val="en-US"/>
            </w:rPr>
            <m:t>=</m:t>
          </m:r>
          <m:sSub>
            <m:sSubPr>
              <m:ctrlPr>
                <w:rPr>
                  <w:rFonts w:ascii="Cambria Math" w:hAnsi="Cambria Math"/>
                  <w:i/>
                  <w:color w:val="000000" w:themeColor="text1"/>
                  <w:sz w:val="20"/>
                  <w:szCs w:val="20"/>
                  <w:lang w:val="en-US"/>
                </w:rPr>
              </m:ctrlPr>
            </m:sSubPr>
            <m:e>
              <m:r>
                <w:rPr>
                  <w:rFonts w:ascii="Cambria Math" w:hAnsi="Cambria Math"/>
                  <w:color w:val="000000" w:themeColor="text1"/>
                  <w:sz w:val="20"/>
                  <w:szCs w:val="20"/>
                  <w:lang w:val="en-US"/>
                </w:rPr>
                <m:t>C</m:t>
              </m:r>
            </m:e>
            <m:sub>
              <m:r>
                <w:rPr>
                  <w:rFonts w:ascii="Cambria Math" w:hAnsi="Cambria Math"/>
                  <w:color w:val="000000" w:themeColor="text1"/>
                  <w:sz w:val="20"/>
                  <w:szCs w:val="20"/>
                  <w:lang w:val="en-US"/>
                </w:rPr>
                <m:t>j</m:t>
              </m:r>
            </m:sub>
          </m:sSub>
          <m:r>
            <w:rPr>
              <w:rFonts w:ascii="Cambria Math" w:hAnsi="Cambria Math"/>
              <w:color w:val="000000" w:themeColor="text1"/>
              <w:sz w:val="20"/>
              <w:szCs w:val="20"/>
              <w:lang w:val="en-US"/>
            </w:rPr>
            <m:t>-</m:t>
          </m:r>
          <m:sSub>
            <m:sSubPr>
              <m:ctrlPr>
                <w:rPr>
                  <w:rFonts w:ascii="Cambria Math" w:hAnsi="Cambria Math"/>
                  <w:i/>
                  <w:color w:val="000000" w:themeColor="text1"/>
                  <w:sz w:val="20"/>
                  <w:szCs w:val="20"/>
                  <w:lang w:val="en-US"/>
                </w:rPr>
              </m:ctrlPr>
            </m:sSubPr>
            <m:e>
              <m:r>
                <w:rPr>
                  <w:rFonts w:ascii="Cambria Math" w:hAnsi="Cambria Math"/>
                  <w:color w:val="000000" w:themeColor="text1"/>
                  <w:sz w:val="20"/>
                  <w:szCs w:val="20"/>
                  <w:lang w:val="en-US"/>
                </w:rPr>
                <m:t>D</m:t>
              </m:r>
            </m:e>
            <m:sub>
              <m:r>
                <w:rPr>
                  <w:rFonts w:ascii="Cambria Math" w:hAnsi="Cambria Math"/>
                  <w:color w:val="000000" w:themeColor="text1"/>
                  <w:sz w:val="20"/>
                  <w:szCs w:val="20"/>
                  <w:lang w:val="en-US"/>
                </w:rPr>
                <m:t>j,t</m:t>
              </m:r>
            </m:sub>
          </m:sSub>
        </m:oMath>
      </m:oMathPara>
    </w:p>
    <w:p w14:paraId="6D7733C4" w14:textId="77777777" w:rsidR="008813F9" w:rsidRPr="008813F9" w:rsidRDefault="008813F9" w:rsidP="008813F9">
      <w:pPr>
        <w:spacing w:after="0" w:line="240" w:lineRule="auto"/>
        <w:jc w:val="both"/>
        <w:rPr>
          <w:rFonts w:ascii="Times New Roman" w:hAnsi="Times New Roman"/>
          <w:color w:val="000000" w:themeColor="text1"/>
          <w:sz w:val="20"/>
          <w:szCs w:val="20"/>
        </w:rPr>
      </w:pPr>
      <w:proofErr w:type="spellStart"/>
      <w:r w:rsidRPr="008813F9">
        <w:rPr>
          <w:rFonts w:ascii="Times New Roman" w:hAnsi="Times New Roman"/>
          <w:color w:val="000000" w:themeColor="text1"/>
          <w:sz w:val="20"/>
          <w:szCs w:val="20"/>
        </w:rPr>
        <w:t>Where</w:t>
      </w:r>
      <w:proofErr w:type="spellEnd"/>
      <w:r w:rsidRPr="008813F9">
        <w:rPr>
          <w:rFonts w:ascii="Times New Roman" w:hAnsi="Times New Roman"/>
          <w:color w:val="000000" w:themeColor="text1"/>
          <w:sz w:val="20"/>
          <w:szCs w:val="20"/>
        </w:rPr>
        <w:t> :</w:t>
      </w:r>
    </w:p>
    <w:p w14:paraId="1109D9AC" w14:textId="77777777" w:rsidR="008813F9" w:rsidRPr="008813F9" w:rsidRDefault="00000000">
      <w:pPr>
        <w:numPr>
          <w:ilvl w:val="0"/>
          <w:numId w:val="3"/>
        </w:numPr>
        <w:spacing w:after="0" w:line="240" w:lineRule="auto"/>
        <w:jc w:val="both"/>
        <w:rPr>
          <w:rFonts w:ascii="Times New Roman" w:hAnsi="Times New Roman"/>
          <w:color w:val="000000" w:themeColor="text1"/>
          <w:sz w:val="20"/>
          <w:szCs w:val="20"/>
          <w:lang w:val="en-US"/>
        </w:rPr>
      </w:pPr>
      <m:oMath>
        <m:sSub>
          <m:sSubPr>
            <m:ctrlPr>
              <w:rPr>
                <w:rFonts w:ascii="Cambria Math" w:hAnsi="Cambria Math"/>
                <w:i/>
                <w:color w:val="000000" w:themeColor="text1"/>
                <w:sz w:val="20"/>
                <w:szCs w:val="20"/>
                <w:lang w:val="en-US"/>
              </w:rPr>
            </m:ctrlPr>
          </m:sSubPr>
          <m:e>
            <m:r>
              <w:rPr>
                <w:rFonts w:ascii="Cambria Math" w:hAnsi="Cambria Math"/>
                <w:color w:val="000000" w:themeColor="text1"/>
                <w:sz w:val="20"/>
                <w:szCs w:val="20"/>
                <w:lang w:val="en-US"/>
              </w:rPr>
              <m:t>H</m:t>
            </m:r>
          </m:e>
          <m:sub>
            <m:r>
              <w:rPr>
                <w:rFonts w:ascii="Cambria Math" w:hAnsi="Cambria Math"/>
                <w:color w:val="000000" w:themeColor="text1"/>
                <w:sz w:val="20"/>
                <w:szCs w:val="20"/>
                <w:lang w:val="en-US"/>
              </w:rPr>
              <m:t>j,t</m:t>
            </m:r>
          </m:sub>
        </m:sSub>
      </m:oMath>
      <w:r w:rsidR="008813F9" w:rsidRPr="008813F9">
        <w:rPr>
          <w:rFonts w:ascii="Times New Roman" w:hAnsi="Times New Roman"/>
          <w:color w:val="000000" w:themeColor="text1"/>
          <w:sz w:val="20"/>
          <w:szCs w:val="20"/>
          <w:lang w:val="en-US"/>
        </w:rPr>
        <w:t xml:space="preserve">: Headroom capacity at substation in year </w:t>
      </w:r>
    </w:p>
    <w:p w14:paraId="41F06271" w14:textId="77777777" w:rsidR="008813F9" w:rsidRPr="008813F9" w:rsidRDefault="00000000">
      <w:pPr>
        <w:numPr>
          <w:ilvl w:val="0"/>
          <w:numId w:val="3"/>
        </w:numPr>
        <w:spacing w:after="0" w:line="240" w:lineRule="auto"/>
        <w:jc w:val="both"/>
        <w:rPr>
          <w:rFonts w:ascii="Times New Roman" w:hAnsi="Times New Roman"/>
          <w:color w:val="000000" w:themeColor="text1"/>
          <w:sz w:val="20"/>
          <w:szCs w:val="20"/>
          <w:lang w:val="en-US"/>
        </w:rPr>
      </w:pPr>
      <m:oMath>
        <m:sSub>
          <m:sSubPr>
            <m:ctrlPr>
              <w:rPr>
                <w:rFonts w:ascii="Cambria Math" w:hAnsi="Cambria Math"/>
                <w:i/>
                <w:color w:val="000000" w:themeColor="text1"/>
                <w:sz w:val="20"/>
                <w:szCs w:val="20"/>
                <w:lang w:val="en-US"/>
              </w:rPr>
            </m:ctrlPr>
          </m:sSubPr>
          <m:e>
            <m:r>
              <w:rPr>
                <w:rFonts w:ascii="Cambria Math" w:hAnsi="Cambria Math"/>
                <w:color w:val="000000" w:themeColor="text1"/>
                <w:sz w:val="20"/>
                <w:szCs w:val="20"/>
                <w:lang w:val="en-US"/>
              </w:rPr>
              <m:t>C</m:t>
            </m:r>
          </m:e>
          <m:sub>
            <m:r>
              <w:rPr>
                <w:rFonts w:ascii="Cambria Math" w:hAnsi="Cambria Math"/>
                <w:color w:val="000000" w:themeColor="text1"/>
                <w:sz w:val="20"/>
                <w:szCs w:val="20"/>
                <w:lang w:val="en-US"/>
              </w:rPr>
              <m:t>j</m:t>
            </m:r>
          </m:sub>
        </m:sSub>
      </m:oMath>
      <w:r w:rsidR="008813F9" w:rsidRPr="008813F9">
        <w:rPr>
          <w:rFonts w:ascii="Times New Roman" w:hAnsi="Times New Roman"/>
          <w:color w:val="000000" w:themeColor="text1"/>
          <w:sz w:val="20"/>
          <w:szCs w:val="20"/>
          <w:lang w:val="en-US"/>
        </w:rPr>
        <w:t>: Thermal rated capacity of the substation</w:t>
      </w:r>
    </w:p>
    <w:p w14:paraId="3DFD636A" w14:textId="77777777" w:rsidR="008813F9" w:rsidRPr="008813F9" w:rsidRDefault="00000000">
      <w:pPr>
        <w:numPr>
          <w:ilvl w:val="0"/>
          <w:numId w:val="3"/>
        </w:numPr>
        <w:spacing w:after="0" w:line="240" w:lineRule="auto"/>
        <w:jc w:val="both"/>
        <w:rPr>
          <w:rFonts w:ascii="Times New Roman" w:hAnsi="Times New Roman"/>
          <w:color w:val="000000" w:themeColor="text1"/>
          <w:sz w:val="20"/>
          <w:szCs w:val="20"/>
          <w:lang w:val="en-US"/>
        </w:rPr>
      </w:pPr>
      <m:oMath>
        <m:sSub>
          <m:sSubPr>
            <m:ctrlPr>
              <w:rPr>
                <w:rFonts w:ascii="Cambria Math" w:hAnsi="Cambria Math"/>
                <w:i/>
                <w:color w:val="000000" w:themeColor="text1"/>
                <w:sz w:val="20"/>
                <w:szCs w:val="20"/>
                <w:lang w:val="en-US"/>
              </w:rPr>
            </m:ctrlPr>
          </m:sSubPr>
          <m:e>
            <m:r>
              <w:rPr>
                <w:rFonts w:ascii="Cambria Math" w:hAnsi="Cambria Math"/>
                <w:color w:val="000000" w:themeColor="text1"/>
                <w:sz w:val="20"/>
                <w:szCs w:val="20"/>
                <w:lang w:val="en-US"/>
              </w:rPr>
              <m:t>D</m:t>
            </m:r>
          </m:e>
          <m:sub>
            <m:r>
              <w:rPr>
                <w:rFonts w:ascii="Cambria Math" w:hAnsi="Cambria Math"/>
                <w:color w:val="000000" w:themeColor="text1"/>
                <w:sz w:val="20"/>
                <w:szCs w:val="20"/>
                <w:lang w:val="en-US"/>
              </w:rPr>
              <m:t>j,t</m:t>
            </m:r>
          </m:sub>
        </m:sSub>
      </m:oMath>
      <w:r w:rsidR="008813F9" w:rsidRPr="008813F9">
        <w:rPr>
          <w:rFonts w:ascii="Times New Roman" w:hAnsi="Times New Roman"/>
          <w:color w:val="000000" w:themeColor="text1"/>
          <w:sz w:val="20"/>
          <w:szCs w:val="20"/>
          <w:lang w:val="en-US"/>
        </w:rPr>
        <w:t xml:space="preserve">: Projected electricity demand at the substation in year </w:t>
      </w:r>
    </w:p>
    <w:p w14:paraId="3CDBB598"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The data, originally in different formats (MVA, MW, scenarios, spatial granularity), was normalized using a power factor of 0.9 and interpolated to align with benchmark years (2024, 2030, 2040, 2050). For future demand projections, we adopted the scenario framework from the China National Energy Administration (NEA, 2023) and the National Climate Strategy Center (NCSC, 2022), which provide electricity load expansion forecasts across 31 provinces.</w:t>
      </w:r>
    </w:p>
    <w:p w14:paraId="53D26B20"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The headroom projections considered renewable generation variability, distributed generation inputs, and expected delays in transmission reinforcement, especially in central and western provinces. This approach mirrors methods used by Gailani et al. (2025) in their spatial assessment of the UK electricity network.</w:t>
      </w:r>
    </w:p>
    <w:p w14:paraId="27A94213" w14:textId="77777777" w:rsidR="008813F9" w:rsidRDefault="008813F9" w:rsidP="008813F9">
      <w:pPr>
        <w:spacing w:after="0" w:line="240" w:lineRule="auto"/>
        <w:jc w:val="both"/>
        <w:rPr>
          <w:rFonts w:ascii="Times New Roman" w:hAnsi="Times New Roman"/>
          <w:b/>
          <w:bCs/>
          <w:i/>
          <w:iCs/>
          <w:color w:val="000000" w:themeColor="text1"/>
          <w:sz w:val="20"/>
          <w:szCs w:val="20"/>
          <w:lang w:val="en-US"/>
        </w:rPr>
      </w:pPr>
    </w:p>
    <w:p w14:paraId="4A647B79" w14:textId="1A749B68" w:rsidR="008813F9" w:rsidRPr="008813F9" w:rsidRDefault="008813F9" w:rsidP="008813F9">
      <w:pPr>
        <w:spacing w:after="0" w:line="240" w:lineRule="auto"/>
        <w:jc w:val="both"/>
        <w:rPr>
          <w:rFonts w:ascii="Times New Roman" w:hAnsi="Times New Roman"/>
          <w:i/>
          <w:iCs/>
          <w:color w:val="000000" w:themeColor="text1"/>
          <w:sz w:val="20"/>
          <w:szCs w:val="20"/>
          <w:lang w:val="en-US"/>
        </w:rPr>
      </w:pPr>
      <w:r w:rsidRPr="008813F9">
        <w:rPr>
          <w:rFonts w:ascii="Times New Roman" w:hAnsi="Times New Roman"/>
          <w:i/>
          <w:iCs/>
          <w:color w:val="000000" w:themeColor="text1"/>
          <w:sz w:val="20"/>
          <w:szCs w:val="20"/>
          <w:lang w:val="en-US"/>
        </w:rPr>
        <w:t>4.2. Capacity needs for industrial sites</w:t>
      </w:r>
    </w:p>
    <w:p w14:paraId="0BE1AA6D"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We used the China Industrial Transition and Electrification Model (CITEM) to estimate electricity demand growth by subsector, using base-year consumption levels (2024), production growth rates, and electrification potential.</w:t>
      </w:r>
    </w:p>
    <w:p w14:paraId="6B53C66D"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Key industrial subsectors analyzed include:</w:t>
      </w:r>
    </w:p>
    <w:p w14:paraId="07F03199" w14:textId="77777777" w:rsidR="008813F9" w:rsidRPr="008813F9" w:rsidRDefault="008813F9">
      <w:pPr>
        <w:numPr>
          <w:ilvl w:val="0"/>
          <w:numId w:val="4"/>
        </w:numPr>
        <w:spacing w:after="0" w:line="240" w:lineRule="auto"/>
        <w:jc w:val="both"/>
        <w:rPr>
          <w:rFonts w:ascii="Times New Roman" w:hAnsi="Times New Roman"/>
          <w:color w:val="000000" w:themeColor="text1"/>
          <w:sz w:val="20"/>
          <w:szCs w:val="20"/>
        </w:rPr>
      </w:pPr>
      <w:r w:rsidRPr="008813F9">
        <w:rPr>
          <w:rFonts w:ascii="Times New Roman" w:hAnsi="Times New Roman"/>
          <w:color w:val="000000" w:themeColor="text1"/>
          <w:sz w:val="20"/>
          <w:szCs w:val="20"/>
        </w:rPr>
        <w:t>Iron and Steel</w:t>
      </w:r>
    </w:p>
    <w:p w14:paraId="24AB6093" w14:textId="77777777" w:rsidR="008813F9" w:rsidRPr="008813F9" w:rsidRDefault="008813F9">
      <w:pPr>
        <w:numPr>
          <w:ilvl w:val="0"/>
          <w:numId w:val="4"/>
        </w:numPr>
        <w:spacing w:after="0" w:line="240" w:lineRule="auto"/>
        <w:jc w:val="both"/>
        <w:rPr>
          <w:rFonts w:ascii="Times New Roman" w:hAnsi="Times New Roman"/>
          <w:color w:val="000000" w:themeColor="text1"/>
          <w:sz w:val="20"/>
          <w:szCs w:val="20"/>
        </w:rPr>
      </w:pPr>
      <w:r w:rsidRPr="008813F9">
        <w:rPr>
          <w:rFonts w:ascii="Times New Roman" w:hAnsi="Times New Roman"/>
          <w:color w:val="000000" w:themeColor="text1"/>
          <w:sz w:val="20"/>
          <w:szCs w:val="20"/>
        </w:rPr>
        <w:t xml:space="preserve">Cement and </w:t>
      </w:r>
      <w:proofErr w:type="spellStart"/>
      <w:r w:rsidRPr="008813F9">
        <w:rPr>
          <w:rFonts w:ascii="Times New Roman" w:hAnsi="Times New Roman"/>
          <w:color w:val="000000" w:themeColor="text1"/>
          <w:sz w:val="20"/>
          <w:szCs w:val="20"/>
        </w:rPr>
        <w:t>Lime</w:t>
      </w:r>
      <w:proofErr w:type="spellEnd"/>
    </w:p>
    <w:p w14:paraId="5DA49E66" w14:textId="77777777" w:rsidR="008813F9" w:rsidRPr="008813F9" w:rsidRDefault="008813F9">
      <w:pPr>
        <w:numPr>
          <w:ilvl w:val="0"/>
          <w:numId w:val="4"/>
        </w:numPr>
        <w:spacing w:after="0" w:line="240" w:lineRule="auto"/>
        <w:jc w:val="both"/>
        <w:rPr>
          <w:rFonts w:ascii="Times New Roman" w:hAnsi="Times New Roman"/>
          <w:color w:val="000000" w:themeColor="text1"/>
          <w:sz w:val="20"/>
          <w:szCs w:val="20"/>
        </w:rPr>
      </w:pPr>
      <w:r w:rsidRPr="008813F9">
        <w:rPr>
          <w:rFonts w:ascii="Times New Roman" w:hAnsi="Times New Roman"/>
          <w:color w:val="000000" w:themeColor="text1"/>
          <w:sz w:val="20"/>
          <w:szCs w:val="20"/>
        </w:rPr>
        <w:t>Chemicals</w:t>
      </w:r>
    </w:p>
    <w:p w14:paraId="0F5D9556" w14:textId="77777777" w:rsidR="008813F9" w:rsidRPr="008813F9" w:rsidRDefault="008813F9">
      <w:pPr>
        <w:numPr>
          <w:ilvl w:val="0"/>
          <w:numId w:val="4"/>
        </w:numPr>
        <w:spacing w:after="0" w:line="240" w:lineRule="auto"/>
        <w:jc w:val="both"/>
        <w:rPr>
          <w:rFonts w:ascii="Times New Roman" w:hAnsi="Times New Roman"/>
          <w:color w:val="000000" w:themeColor="text1"/>
          <w:sz w:val="20"/>
          <w:szCs w:val="20"/>
        </w:rPr>
      </w:pPr>
      <w:r w:rsidRPr="008813F9">
        <w:rPr>
          <w:rFonts w:ascii="Times New Roman" w:hAnsi="Times New Roman"/>
          <w:color w:val="000000" w:themeColor="text1"/>
          <w:sz w:val="20"/>
          <w:szCs w:val="20"/>
        </w:rPr>
        <w:t>Food and Drink</w:t>
      </w:r>
    </w:p>
    <w:p w14:paraId="1436B566" w14:textId="77777777" w:rsidR="008813F9" w:rsidRPr="008813F9" w:rsidRDefault="008813F9">
      <w:pPr>
        <w:numPr>
          <w:ilvl w:val="0"/>
          <w:numId w:val="4"/>
        </w:numPr>
        <w:spacing w:after="0" w:line="240" w:lineRule="auto"/>
        <w:jc w:val="both"/>
        <w:rPr>
          <w:rFonts w:ascii="Times New Roman" w:hAnsi="Times New Roman"/>
          <w:color w:val="000000" w:themeColor="text1"/>
          <w:sz w:val="20"/>
          <w:szCs w:val="20"/>
        </w:rPr>
      </w:pPr>
      <w:r w:rsidRPr="008813F9">
        <w:rPr>
          <w:rFonts w:ascii="Times New Roman" w:hAnsi="Times New Roman"/>
          <w:color w:val="000000" w:themeColor="text1"/>
          <w:sz w:val="20"/>
          <w:szCs w:val="20"/>
        </w:rPr>
        <w:t>Non-</w:t>
      </w:r>
      <w:proofErr w:type="spellStart"/>
      <w:r w:rsidRPr="008813F9">
        <w:rPr>
          <w:rFonts w:ascii="Times New Roman" w:hAnsi="Times New Roman"/>
          <w:color w:val="000000" w:themeColor="text1"/>
          <w:sz w:val="20"/>
          <w:szCs w:val="20"/>
        </w:rPr>
        <w:t>ferrous</w:t>
      </w:r>
      <w:proofErr w:type="spellEnd"/>
      <w:r w:rsidRPr="008813F9">
        <w:rPr>
          <w:rFonts w:ascii="Times New Roman" w:hAnsi="Times New Roman"/>
          <w:color w:val="000000" w:themeColor="text1"/>
          <w:sz w:val="20"/>
          <w:szCs w:val="20"/>
        </w:rPr>
        <w:t xml:space="preserve"> </w:t>
      </w:r>
      <w:proofErr w:type="spellStart"/>
      <w:r w:rsidRPr="008813F9">
        <w:rPr>
          <w:rFonts w:ascii="Times New Roman" w:hAnsi="Times New Roman"/>
          <w:color w:val="000000" w:themeColor="text1"/>
          <w:sz w:val="20"/>
          <w:szCs w:val="20"/>
        </w:rPr>
        <w:t>Metals</w:t>
      </w:r>
      <w:proofErr w:type="spellEnd"/>
    </w:p>
    <w:p w14:paraId="11D9C387" w14:textId="77777777" w:rsidR="008813F9" w:rsidRPr="008813F9" w:rsidRDefault="008813F9">
      <w:pPr>
        <w:numPr>
          <w:ilvl w:val="0"/>
          <w:numId w:val="4"/>
        </w:numPr>
        <w:spacing w:after="0" w:line="240" w:lineRule="auto"/>
        <w:jc w:val="both"/>
        <w:rPr>
          <w:rFonts w:ascii="Times New Roman" w:hAnsi="Times New Roman"/>
          <w:color w:val="000000" w:themeColor="text1"/>
          <w:sz w:val="20"/>
          <w:szCs w:val="20"/>
        </w:rPr>
      </w:pPr>
      <w:r w:rsidRPr="008813F9">
        <w:rPr>
          <w:rFonts w:ascii="Times New Roman" w:hAnsi="Times New Roman"/>
          <w:color w:val="000000" w:themeColor="text1"/>
          <w:sz w:val="20"/>
          <w:szCs w:val="20"/>
        </w:rPr>
        <w:t>Glass</w:t>
      </w:r>
    </w:p>
    <w:p w14:paraId="6A2ED1BB" w14:textId="77777777" w:rsidR="008813F9" w:rsidRPr="008813F9" w:rsidRDefault="008813F9">
      <w:pPr>
        <w:numPr>
          <w:ilvl w:val="0"/>
          <w:numId w:val="4"/>
        </w:numPr>
        <w:spacing w:after="0" w:line="240" w:lineRule="auto"/>
        <w:jc w:val="both"/>
        <w:rPr>
          <w:rFonts w:ascii="Times New Roman" w:hAnsi="Times New Roman"/>
          <w:color w:val="000000" w:themeColor="text1"/>
          <w:sz w:val="20"/>
          <w:szCs w:val="20"/>
        </w:rPr>
      </w:pPr>
      <w:proofErr w:type="spellStart"/>
      <w:r w:rsidRPr="008813F9">
        <w:rPr>
          <w:rFonts w:ascii="Times New Roman" w:hAnsi="Times New Roman"/>
          <w:color w:val="000000" w:themeColor="text1"/>
          <w:sz w:val="20"/>
          <w:szCs w:val="20"/>
        </w:rPr>
        <w:t>Machinery</w:t>
      </w:r>
      <w:proofErr w:type="spellEnd"/>
    </w:p>
    <w:p w14:paraId="2130DBE9" w14:textId="77777777" w:rsidR="008813F9" w:rsidRPr="008813F9" w:rsidRDefault="008813F9">
      <w:pPr>
        <w:numPr>
          <w:ilvl w:val="0"/>
          <w:numId w:val="4"/>
        </w:numPr>
        <w:spacing w:after="0" w:line="240" w:lineRule="auto"/>
        <w:jc w:val="both"/>
        <w:rPr>
          <w:rFonts w:ascii="Times New Roman" w:hAnsi="Times New Roman"/>
          <w:color w:val="000000" w:themeColor="text1"/>
          <w:sz w:val="20"/>
          <w:szCs w:val="20"/>
        </w:rPr>
      </w:pPr>
      <w:r w:rsidRPr="008813F9">
        <w:rPr>
          <w:rFonts w:ascii="Times New Roman" w:hAnsi="Times New Roman"/>
          <w:color w:val="000000" w:themeColor="text1"/>
          <w:sz w:val="20"/>
          <w:szCs w:val="20"/>
        </w:rPr>
        <w:t>Pulp and Paper</w:t>
      </w:r>
    </w:p>
    <w:p w14:paraId="6A713F7A"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The additional electricity capacity needs (in MW) were calculated using:</w:t>
      </w:r>
    </w:p>
    <w:p w14:paraId="159D1040" w14:textId="77777777" w:rsidR="008813F9" w:rsidRPr="008813F9" w:rsidRDefault="00000000" w:rsidP="008813F9">
      <w:pPr>
        <w:spacing w:after="0" w:line="240" w:lineRule="auto"/>
        <w:jc w:val="both"/>
        <w:rPr>
          <w:rFonts w:ascii="Times New Roman" w:hAnsi="Times New Roman"/>
          <w:color w:val="000000" w:themeColor="text1"/>
          <w:sz w:val="20"/>
          <w:szCs w:val="20"/>
          <w:lang w:val="en-US"/>
        </w:rPr>
      </w:pPr>
      <m:oMathPara>
        <m:oMath>
          <m:sSub>
            <m:sSubPr>
              <m:ctrlPr>
                <w:rPr>
                  <w:rFonts w:ascii="Cambria Math" w:hAnsi="Cambria Math"/>
                  <w:i/>
                  <w:color w:val="000000" w:themeColor="text1"/>
                  <w:sz w:val="20"/>
                  <w:szCs w:val="20"/>
                  <w:lang w:val="en-US"/>
                </w:rPr>
              </m:ctrlPr>
            </m:sSubPr>
            <m:e>
              <m:r>
                <w:rPr>
                  <w:rFonts w:ascii="Cambria Math" w:hAnsi="Cambria Math"/>
                  <w:color w:val="000000" w:themeColor="text1"/>
                  <w:sz w:val="20"/>
                  <w:szCs w:val="20"/>
                  <w:lang w:val="en-US"/>
                </w:rPr>
                <m:t>∆P</m:t>
              </m:r>
            </m:e>
            <m:sub>
              <m:r>
                <w:rPr>
                  <w:rFonts w:ascii="Cambria Math" w:hAnsi="Cambria Math"/>
                  <w:color w:val="000000" w:themeColor="text1"/>
                  <w:sz w:val="20"/>
                  <w:szCs w:val="20"/>
                  <w:lang w:val="en-US"/>
                </w:rPr>
                <m:t>s,t</m:t>
              </m:r>
            </m:sub>
          </m:sSub>
          <m:r>
            <w:rPr>
              <w:rFonts w:ascii="Cambria Math" w:hAnsi="Cambria Math"/>
              <w:color w:val="000000" w:themeColor="text1"/>
              <w:sz w:val="20"/>
              <w:szCs w:val="20"/>
              <w:lang w:val="en-US"/>
            </w:rPr>
            <m:t>=</m:t>
          </m:r>
          <m:sSub>
            <m:sSubPr>
              <m:ctrlPr>
                <w:rPr>
                  <w:rFonts w:ascii="Cambria Math" w:hAnsi="Cambria Math"/>
                  <w:i/>
                  <w:color w:val="000000" w:themeColor="text1"/>
                  <w:sz w:val="20"/>
                  <w:szCs w:val="20"/>
                  <w:lang w:val="en-US"/>
                </w:rPr>
              </m:ctrlPr>
            </m:sSubPr>
            <m:e>
              <m:r>
                <w:rPr>
                  <w:rFonts w:ascii="Cambria Math" w:hAnsi="Cambria Math"/>
                  <w:color w:val="000000" w:themeColor="text1"/>
                  <w:sz w:val="20"/>
                  <w:szCs w:val="20"/>
                  <w:lang w:val="en-US"/>
                </w:rPr>
                <m:t>E</m:t>
              </m:r>
            </m:e>
            <m:sub>
              <m:r>
                <w:rPr>
                  <w:rFonts w:ascii="Cambria Math" w:hAnsi="Cambria Math"/>
                  <w:color w:val="000000" w:themeColor="text1"/>
                  <w:sz w:val="20"/>
                  <w:szCs w:val="20"/>
                  <w:lang w:val="en-US"/>
                </w:rPr>
                <m:t>s,t</m:t>
              </m:r>
            </m:sub>
          </m:sSub>
          <m:r>
            <w:rPr>
              <w:rFonts w:ascii="Cambria Math" w:hAnsi="Cambria Math"/>
              <w:color w:val="000000" w:themeColor="text1"/>
              <w:sz w:val="20"/>
              <w:szCs w:val="20"/>
              <w:lang w:val="en-US"/>
            </w:rPr>
            <m:t>/LF</m:t>
          </m:r>
        </m:oMath>
      </m:oMathPara>
    </w:p>
    <w:p w14:paraId="4585346D" w14:textId="77777777" w:rsidR="008813F9" w:rsidRPr="008813F9" w:rsidRDefault="008813F9" w:rsidP="008813F9">
      <w:pPr>
        <w:spacing w:after="0" w:line="240" w:lineRule="auto"/>
        <w:jc w:val="both"/>
        <w:rPr>
          <w:rFonts w:ascii="Times New Roman" w:hAnsi="Times New Roman"/>
          <w:color w:val="000000" w:themeColor="text1"/>
          <w:sz w:val="20"/>
          <w:szCs w:val="20"/>
        </w:rPr>
      </w:pPr>
      <w:proofErr w:type="spellStart"/>
      <w:r w:rsidRPr="008813F9">
        <w:rPr>
          <w:rFonts w:ascii="Times New Roman" w:hAnsi="Times New Roman"/>
          <w:color w:val="000000" w:themeColor="text1"/>
          <w:sz w:val="20"/>
          <w:szCs w:val="20"/>
        </w:rPr>
        <w:t>Where</w:t>
      </w:r>
      <w:proofErr w:type="spellEnd"/>
      <w:r w:rsidRPr="008813F9">
        <w:rPr>
          <w:rFonts w:ascii="Times New Roman" w:hAnsi="Times New Roman"/>
          <w:color w:val="000000" w:themeColor="text1"/>
          <w:sz w:val="20"/>
          <w:szCs w:val="20"/>
        </w:rPr>
        <w:t> :</w:t>
      </w:r>
    </w:p>
    <w:p w14:paraId="223916E3" w14:textId="77777777" w:rsidR="008813F9" w:rsidRPr="008813F9" w:rsidRDefault="00000000">
      <w:pPr>
        <w:numPr>
          <w:ilvl w:val="0"/>
          <w:numId w:val="5"/>
        </w:numPr>
        <w:spacing w:after="0" w:line="240" w:lineRule="auto"/>
        <w:jc w:val="both"/>
        <w:rPr>
          <w:rFonts w:ascii="Times New Roman" w:hAnsi="Times New Roman"/>
          <w:color w:val="000000" w:themeColor="text1"/>
          <w:sz w:val="20"/>
          <w:szCs w:val="20"/>
          <w:lang w:val="en-US"/>
        </w:rPr>
      </w:pPr>
      <m:oMath>
        <m:sSub>
          <m:sSubPr>
            <m:ctrlPr>
              <w:rPr>
                <w:rFonts w:ascii="Cambria Math" w:hAnsi="Cambria Math"/>
                <w:i/>
                <w:color w:val="000000" w:themeColor="text1"/>
                <w:sz w:val="20"/>
                <w:szCs w:val="20"/>
                <w:lang w:val="en-US"/>
              </w:rPr>
            </m:ctrlPr>
          </m:sSubPr>
          <m:e>
            <m:r>
              <w:rPr>
                <w:rFonts w:ascii="Cambria Math" w:hAnsi="Cambria Math"/>
                <w:color w:val="000000" w:themeColor="text1"/>
                <w:sz w:val="20"/>
                <w:szCs w:val="20"/>
                <w:lang w:val="en-US"/>
              </w:rPr>
              <m:t>∆P</m:t>
            </m:r>
          </m:e>
          <m:sub>
            <m:r>
              <w:rPr>
                <w:rFonts w:ascii="Cambria Math" w:hAnsi="Cambria Math"/>
                <w:color w:val="000000" w:themeColor="text1"/>
                <w:sz w:val="20"/>
                <w:szCs w:val="20"/>
                <w:lang w:val="en-US"/>
              </w:rPr>
              <m:t>s,t</m:t>
            </m:r>
          </m:sub>
        </m:sSub>
      </m:oMath>
      <w:r w:rsidR="008813F9" w:rsidRPr="008813F9">
        <w:rPr>
          <w:rFonts w:ascii="Times New Roman" w:hAnsi="Times New Roman"/>
          <w:color w:val="000000" w:themeColor="text1"/>
          <w:sz w:val="20"/>
          <w:szCs w:val="20"/>
          <w:lang w:val="en-US"/>
        </w:rPr>
        <w:t xml:space="preserve">: Additional capacity required for sector in year </w:t>
      </w:r>
    </w:p>
    <w:p w14:paraId="032FBB6A" w14:textId="77777777" w:rsidR="008813F9" w:rsidRPr="008813F9" w:rsidRDefault="00000000">
      <w:pPr>
        <w:numPr>
          <w:ilvl w:val="0"/>
          <w:numId w:val="5"/>
        </w:numPr>
        <w:spacing w:after="0" w:line="240" w:lineRule="auto"/>
        <w:jc w:val="both"/>
        <w:rPr>
          <w:rFonts w:ascii="Times New Roman" w:hAnsi="Times New Roman"/>
          <w:i/>
          <w:iCs/>
          <w:color w:val="000000" w:themeColor="text1"/>
          <w:sz w:val="20"/>
          <w:szCs w:val="20"/>
          <w:lang w:val="en-US"/>
        </w:rPr>
      </w:pPr>
      <m:oMath>
        <m:sSub>
          <m:sSubPr>
            <m:ctrlPr>
              <w:rPr>
                <w:rFonts w:ascii="Cambria Math" w:hAnsi="Cambria Math"/>
                <w:i/>
                <w:color w:val="000000" w:themeColor="text1"/>
                <w:sz w:val="20"/>
                <w:szCs w:val="20"/>
                <w:lang w:val="en-US"/>
              </w:rPr>
            </m:ctrlPr>
          </m:sSubPr>
          <m:e>
            <m:r>
              <w:rPr>
                <w:rFonts w:ascii="Cambria Math" w:hAnsi="Cambria Math"/>
                <w:color w:val="000000" w:themeColor="text1"/>
                <w:sz w:val="20"/>
                <w:szCs w:val="20"/>
                <w:lang w:val="en-US"/>
              </w:rPr>
              <m:t>E</m:t>
            </m:r>
          </m:e>
          <m:sub>
            <m:r>
              <w:rPr>
                <w:rFonts w:ascii="Cambria Math" w:hAnsi="Cambria Math"/>
                <w:color w:val="000000" w:themeColor="text1"/>
                <w:sz w:val="20"/>
                <w:szCs w:val="20"/>
                <w:lang w:val="en-US"/>
              </w:rPr>
              <m:t>s,t</m:t>
            </m:r>
          </m:sub>
        </m:sSub>
      </m:oMath>
      <w:r w:rsidR="008813F9" w:rsidRPr="008813F9">
        <w:rPr>
          <w:rFonts w:ascii="Times New Roman" w:hAnsi="Times New Roman"/>
          <w:color w:val="000000" w:themeColor="text1"/>
          <w:sz w:val="20"/>
          <w:szCs w:val="20"/>
          <w:lang w:val="en-US"/>
        </w:rPr>
        <w:t>: Additional electricity consumption (MWh)</w:t>
      </w:r>
    </w:p>
    <w:p w14:paraId="593586C8" w14:textId="77777777" w:rsidR="008813F9" w:rsidRPr="008813F9" w:rsidRDefault="008813F9">
      <w:pPr>
        <w:numPr>
          <w:ilvl w:val="0"/>
          <w:numId w:val="5"/>
        </w:numPr>
        <w:spacing w:after="0" w:line="240" w:lineRule="auto"/>
        <w:jc w:val="both"/>
        <w:rPr>
          <w:rFonts w:ascii="Times New Roman" w:hAnsi="Times New Roman"/>
          <w:i/>
          <w:iCs/>
          <w:color w:val="000000" w:themeColor="text1"/>
          <w:sz w:val="20"/>
          <w:szCs w:val="20"/>
          <w:lang w:val="en-US"/>
        </w:rPr>
      </w:pPr>
      <m:oMath>
        <m:r>
          <w:rPr>
            <w:rFonts w:ascii="Cambria Math" w:hAnsi="Cambria Math"/>
            <w:color w:val="000000" w:themeColor="text1"/>
            <w:sz w:val="20"/>
            <w:szCs w:val="20"/>
            <w:lang w:val="en-US"/>
          </w:rPr>
          <m:t>LF</m:t>
        </m:r>
      </m:oMath>
      <w:r w:rsidRPr="008813F9">
        <w:rPr>
          <w:rFonts w:ascii="Times New Roman" w:hAnsi="Times New Roman"/>
          <w:color w:val="000000" w:themeColor="text1"/>
          <w:sz w:val="20"/>
          <w:szCs w:val="20"/>
          <w:lang w:val="en-US"/>
        </w:rPr>
        <w:t>: Load factor (assumed at 0.90)</w:t>
      </w:r>
    </w:p>
    <w:p w14:paraId="7580861D"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Three decarbonization scenarios were modeled:</w:t>
      </w:r>
    </w:p>
    <w:p w14:paraId="5EA6071C" w14:textId="4DEF5313" w:rsidR="008813F9" w:rsidRPr="008813F9" w:rsidRDefault="008813F9">
      <w:pPr>
        <w:numPr>
          <w:ilvl w:val="0"/>
          <w:numId w:val="6"/>
        </w:numPr>
        <w:spacing w:after="0" w:line="240" w:lineRule="auto"/>
        <w:jc w:val="both"/>
        <w:rPr>
          <w:rFonts w:ascii="Times New Roman" w:hAnsi="Times New Roman"/>
          <w:b/>
          <w:bCs/>
          <w:color w:val="000000" w:themeColor="text1"/>
          <w:sz w:val="20"/>
          <w:szCs w:val="20"/>
          <w:lang w:val="en-US"/>
        </w:rPr>
      </w:pPr>
      <w:r w:rsidRPr="008813F9">
        <w:rPr>
          <w:rFonts w:ascii="Times New Roman" w:hAnsi="Times New Roman"/>
          <w:b/>
          <w:bCs/>
          <w:color w:val="000000" w:themeColor="text1"/>
          <w:sz w:val="20"/>
          <w:szCs w:val="20"/>
          <w:lang w:val="en-US"/>
        </w:rPr>
        <w:t xml:space="preserve">Business-as-Usual (BAU): </w:t>
      </w:r>
      <w:r w:rsidRPr="008813F9">
        <w:rPr>
          <w:rFonts w:ascii="Times New Roman" w:hAnsi="Times New Roman"/>
          <w:color w:val="000000" w:themeColor="text1"/>
          <w:sz w:val="20"/>
          <w:szCs w:val="20"/>
          <w:lang w:val="en-US"/>
        </w:rPr>
        <w:t>Minimal electrification, high fossil fuel dependency</w:t>
      </w:r>
      <w:r>
        <w:rPr>
          <w:rFonts w:ascii="Times New Roman" w:hAnsi="Times New Roman"/>
          <w:color w:val="000000" w:themeColor="text1"/>
          <w:sz w:val="20"/>
          <w:szCs w:val="20"/>
          <w:lang w:val="en-US"/>
        </w:rPr>
        <w:t>.</w:t>
      </w:r>
    </w:p>
    <w:p w14:paraId="226BB1B0" w14:textId="7152DF22" w:rsidR="008813F9" w:rsidRPr="008813F9" w:rsidRDefault="008813F9">
      <w:pPr>
        <w:numPr>
          <w:ilvl w:val="0"/>
          <w:numId w:val="6"/>
        </w:numPr>
        <w:spacing w:after="0" w:line="240" w:lineRule="auto"/>
        <w:jc w:val="both"/>
        <w:rPr>
          <w:rFonts w:ascii="Times New Roman" w:hAnsi="Times New Roman"/>
          <w:color w:val="000000" w:themeColor="text1"/>
          <w:sz w:val="20"/>
          <w:szCs w:val="20"/>
          <w:lang w:val="en-US"/>
        </w:rPr>
      </w:pPr>
      <w:r w:rsidRPr="008813F9">
        <w:rPr>
          <w:rFonts w:ascii="Times New Roman" w:hAnsi="Times New Roman"/>
          <w:b/>
          <w:bCs/>
          <w:color w:val="000000" w:themeColor="text1"/>
          <w:sz w:val="20"/>
          <w:szCs w:val="20"/>
          <w:lang w:val="en-US"/>
        </w:rPr>
        <w:t>Balanced Decarbonization</w:t>
      </w:r>
      <w:r w:rsidRPr="008813F9">
        <w:rPr>
          <w:rFonts w:ascii="Times New Roman" w:hAnsi="Times New Roman"/>
          <w:color w:val="000000" w:themeColor="text1"/>
          <w:sz w:val="20"/>
          <w:szCs w:val="20"/>
          <w:lang w:val="en-US"/>
        </w:rPr>
        <w:t>: Moderate electrification + energy/resource efficiency</w:t>
      </w:r>
      <w:r>
        <w:rPr>
          <w:rFonts w:ascii="Times New Roman" w:hAnsi="Times New Roman"/>
          <w:color w:val="000000" w:themeColor="text1"/>
          <w:sz w:val="20"/>
          <w:szCs w:val="20"/>
          <w:lang w:val="en-US"/>
        </w:rPr>
        <w:t>.</w:t>
      </w:r>
    </w:p>
    <w:p w14:paraId="188C71B9" w14:textId="13471663" w:rsidR="008813F9" w:rsidRPr="008813F9" w:rsidRDefault="008813F9">
      <w:pPr>
        <w:numPr>
          <w:ilvl w:val="0"/>
          <w:numId w:val="6"/>
        </w:numPr>
        <w:spacing w:after="0" w:line="240" w:lineRule="auto"/>
        <w:jc w:val="both"/>
        <w:rPr>
          <w:rFonts w:ascii="Times New Roman" w:hAnsi="Times New Roman"/>
          <w:color w:val="000000" w:themeColor="text1"/>
          <w:sz w:val="20"/>
          <w:szCs w:val="20"/>
          <w:lang w:val="en-US"/>
        </w:rPr>
      </w:pPr>
      <w:r w:rsidRPr="008813F9">
        <w:rPr>
          <w:rFonts w:ascii="Times New Roman" w:hAnsi="Times New Roman"/>
          <w:b/>
          <w:bCs/>
          <w:color w:val="000000" w:themeColor="text1"/>
          <w:sz w:val="20"/>
          <w:szCs w:val="20"/>
          <w:lang w:val="en-US"/>
        </w:rPr>
        <w:t>Max Electrification</w:t>
      </w:r>
      <w:r w:rsidRPr="008813F9">
        <w:rPr>
          <w:rFonts w:ascii="Times New Roman" w:hAnsi="Times New Roman"/>
          <w:color w:val="000000" w:themeColor="text1"/>
          <w:sz w:val="20"/>
          <w:szCs w:val="20"/>
          <w:lang w:val="en-US"/>
        </w:rPr>
        <w:t>: Aggressive electrification, full shift to electric technologies</w:t>
      </w:r>
      <w:r>
        <w:rPr>
          <w:rFonts w:ascii="Times New Roman" w:hAnsi="Times New Roman"/>
          <w:color w:val="000000" w:themeColor="text1"/>
          <w:sz w:val="20"/>
          <w:szCs w:val="20"/>
          <w:lang w:val="en-US"/>
        </w:rPr>
        <w:t>.</w:t>
      </w:r>
    </w:p>
    <w:p w14:paraId="5EF3964E" w14:textId="29329155" w:rsid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 xml:space="preserve">Below we have Figure 1. Which represent Additional electricity capacity demand in 2050 for industrial sectors across </w:t>
      </w:r>
      <w:proofErr w:type="spellStart"/>
      <w:r w:rsidRPr="008813F9">
        <w:rPr>
          <w:rFonts w:ascii="Times New Roman" w:hAnsi="Times New Roman"/>
          <w:color w:val="000000" w:themeColor="text1"/>
          <w:sz w:val="20"/>
          <w:szCs w:val="20"/>
          <w:lang w:val="en-US"/>
        </w:rPr>
        <w:t>decarbonisation</w:t>
      </w:r>
      <w:proofErr w:type="spellEnd"/>
      <w:r w:rsidRPr="008813F9">
        <w:rPr>
          <w:rFonts w:ascii="Times New Roman" w:hAnsi="Times New Roman"/>
          <w:color w:val="000000" w:themeColor="text1"/>
          <w:sz w:val="20"/>
          <w:szCs w:val="20"/>
          <w:lang w:val="en-US"/>
        </w:rPr>
        <w:t xml:space="preserve"> pathways</w:t>
      </w:r>
      <w:r>
        <w:rPr>
          <w:rFonts w:ascii="Times New Roman" w:hAnsi="Times New Roman"/>
          <w:color w:val="000000" w:themeColor="text1"/>
          <w:sz w:val="20"/>
          <w:szCs w:val="20"/>
          <w:lang w:val="en-US"/>
        </w:rPr>
        <w:t>.</w:t>
      </w:r>
    </w:p>
    <w:p w14:paraId="0709A2BD" w14:textId="77777777" w:rsidR="003C0960" w:rsidRDefault="003C0960" w:rsidP="003C0960">
      <w:pPr>
        <w:pStyle w:val="NormalnyWeb"/>
        <w:spacing w:before="0" w:beforeAutospacing="0" w:after="0" w:afterAutospacing="0"/>
        <w:rPr>
          <w:rFonts w:ascii="Times New Roman" w:hAnsi="Times New Roman"/>
          <w:color w:val="000000" w:themeColor="text1"/>
          <w:sz w:val="18"/>
          <w:szCs w:val="18"/>
          <w:lang w:val="en-US"/>
        </w:rPr>
      </w:pPr>
    </w:p>
    <w:p w14:paraId="41DA0ED8" w14:textId="5D0C14BE" w:rsidR="008813F9" w:rsidRPr="008813F9" w:rsidRDefault="008813F9" w:rsidP="003C0960">
      <w:pPr>
        <w:pStyle w:val="NormalnyWeb"/>
        <w:spacing w:before="0" w:beforeAutospacing="0" w:after="0" w:afterAutospacing="0"/>
        <w:jc w:val="center"/>
        <w:rPr>
          <w:rFonts w:ascii="Times New Roman" w:hAnsi="Times New Roman" w:cs="Times New Roman"/>
          <w:color w:val="000000" w:themeColor="text1"/>
          <w:sz w:val="20"/>
          <w:szCs w:val="20"/>
        </w:rPr>
      </w:pPr>
      <w:r w:rsidRPr="008813F9">
        <w:rPr>
          <w:rFonts w:ascii="Times New Roman" w:hAnsi="Times New Roman" w:cs="Times New Roman"/>
          <w:noProof/>
          <w:color w:val="000000" w:themeColor="text1"/>
          <w:sz w:val="20"/>
          <w:szCs w:val="20"/>
        </w:rPr>
        <w:drawing>
          <wp:inline distT="0" distB="0" distL="0" distR="0" wp14:anchorId="0D3BEF3A" wp14:editId="330F741C">
            <wp:extent cx="5295900" cy="2571750"/>
            <wp:effectExtent l="0" t="0" r="0" b="0"/>
            <wp:docPr id="5" name="Image 5" descr="Bar chart showing additionalelectricity capacity demand by 2050 by different sectors from steel, through foodand drink to non-fer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Bar chart showing additionalelectricity capacity demand by 2050 by different sectors from steel, through foodand drink to non-ferrous"/>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5264"/>
                    <a:stretch>
                      <a:fillRect/>
                    </a:stretch>
                  </pic:blipFill>
                  <pic:spPr bwMode="auto">
                    <a:xfrm>
                      <a:off x="0" y="0"/>
                      <a:ext cx="5295900" cy="2571750"/>
                    </a:xfrm>
                    <a:prstGeom prst="rect">
                      <a:avLst/>
                    </a:prstGeom>
                    <a:noFill/>
                    <a:ln>
                      <a:noFill/>
                    </a:ln>
                    <a:extLst>
                      <a:ext uri="{53640926-AAD7-44D8-BBD7-CCE9431645EC}">
                        <a14:shadowObscured xmlns:a14="http://schemas.microsoft.com/office/drawing/2010/main"/>
                      </a:ext>
                    </a:extLst>
                  </pic:spPr>
                </pic:pic>
              </a:graphicData>
            </a:graphic>
          </wp:inline>
        </w:drawing>
      </w:r>
    </w:p>
    <w:p w14:paraId="1FEB8EF9" w14:textId="338492AB" w:rsidR="009C0665" w:rsidRDefault="003C0960" w:rsidP="008813F9">
      <w:pPr>
        <w:spacing w:after="0" w:line="240" w:lineRule="auto"/>
        <w:jc w:val="both"/>
        <w:rPr>
          <w:rFonts w:ascii="Times New Roman" w:hAnsi="Times New Roman"/>
          <w:color w:val="000000" w:themeColor="text1"/>
          <w:sz w:val="18"/>
          <w:szCs w:val="18"/>
          <w:lang w:val="en-US"/>
        </w:rPr>
      </w:pPr>
      <w:r w:rsidRPr="009C0665">
        <w:rPr>
          <w:rFonts w:ascii="Times New Roman" w:hAnsi="Times New Roman"/>
          <w:color w:val="000000" w:themeColor="text1"/>
          <w:sz w:val="18"/>
          <w:szCs w:val="18"/>
          <w:lang w:val="en-US"/>
        </w:rPr>
        <w:t>Figure 1. Additional electricity capacity demand in 2050 by sector and scenario, source: own elaboration</w:t>
      </w:r>
    </w:p>
    <w:p w14:paraId="6CCBFF84" w14:textId="77777777" w:rsidR="003C0960" w:rsidRDefault="003C0960" w:rsidP="008813F9">
      <w:pPr>
        <w:spacing w:after="0" w:line="240" w:lineRule="auto"/>
        <w:jc w:val="both"/>
        <w:rPr>
          <w:rFonts w:ascii="Times New Roman" w:hAnsi="Times New Roman"/>
          <w:color w:val="000000" w:themeColor="text1"/>
          <w:sz w:val="20"/>
          <w:szCs w:val="20"/>
          <w:lang w:val="en-US"/>
        </w:rPr>
      </w:pPr>
    </w:p>
    <w:p w14:paraId="65784C82" w14:textId="1C41B5E3"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This bar chart compares projected electricity capacity needs (in megawatts) for major industrial sectors under three decarbonization pathways:</w:t>
      </w:r>
    </w:p>
    <w:p w14:paraId="531C0179" w14:textId="77777777" w:rsidR="008813F9" w:rsidRPr="009C0665" w:rsidRDefault="008813F9">
      <w:pPr>
        <w:numPr>
          <w:ilvl w:val="0"/>
          <w:numId w:val="9"/>
        </w:numPr>
        <w:spacing w:after="0" w:line="240" w:lineRule="auto"/>
        <w:jc w:val="both"/>
        <w:rPr>
          <w:rFonts w:ascii="Times New Roman" w:hAnsi="Times New Roman"/>
          <w:color w:val="000000" w:themeColor="text1"/>
          <w:sz w:val="20"/>
          <w:szCs w:val="20"/>
          <w:lang w:val="en-US"/>
        </w:rPr>
      </w:pPr>
      <w:r w:rsidRPr="009C0665">
        <w:rPr>
          <w:rFonts w:ascii="Times New Roman" w:hAnsi="Times New Roman"/>
          <w:b/>
          <w:bCs/>
          <w:color w:val="000000" w:themeColor="text1"/>
          <w:sz w:val="20"/>
          <w:szCs w:val="20"/>
          <w:lang w:val="en-US"/>
        </w:rPr>
        <w:t>Business-as-Usual (BAU):</w:t>
      </w:r>
      <w:r w:rsidRPr="009C0665">
        <w:rPr>
          <w:rFonts w:ascii="Times New Roman" w:hAnsi="Times New Roman"/>
          <w:color w:val="000000" w:themeColor="text1"/>
          <w:sz w:val="20"/>
          <w:szCs w:val="20"/>
          <w:lang w:val="en-US"/>
        </w:rPr>
        <w:t xml:space="preserve"> Sectors like Chemicals and Food &amp; Drink already show notable electricity demand increases due to limited fuel switching.</w:t>
      </w:r>
    </w:p>
    <w:p w14:paraId="74716E86" w14:textId="77777777" w:rsidR="008813F9" w:rsidRPr="009C0665" w:rsidRDefault="008813F9">
      <w:pPr>
        <w:numPr>
          <w:ilvl w:val="0"/>
          <w:numId w:val="9"/>
        </w:numPr>
        <w:spacing w:after="0" w:line="240" w:lineRule="auto"/>
        <w:jc w:val="both"/>
        <w:rPr>
          <w:rFonts w:ascii="Times New Roman" w:hAnsi="Times New Roman"/>
          <w:color w:val="000000" w:themeColor="text1"/>
          <w:sz w:val="20"/>
          <w:szCs w:val="20"/>
          <w:lang w:val="en-US"/>
        </w:rPr>
      </w:pPr>
      <w:r w:rsidRPr="009C0665">
        <w:rPr>
          <w:rFonts w:ascii="Times New Roman" w:hAnsi="Times New Roman"/>
          <w:b/>
          <w:bCs/>
          <w:color w:val="000000" w:themeColor="text1"/>
          <w:sz w:val="20"/>
          <w:szCs w:val="20"/>
          <w:lang w:val="en-US"/>
        </w:rPr>
        <w:t>Balanced Decarbonization:</w:t>
      </w:r>
      <w:r w:rsidRPr="009C0665">
        <w:rPr>
          <w:rFonts w:ascii="Times New Roman" w:hAnsi="Times New Roman"/>
          <w:color w:val="000000" w:themeColor="text1"/>
          <w:sz w:val="20"/>
          <w:szCs w:val="20"/>
          <w:lang w:val="en-US"/>
        </w:rPr>
        <w:t xml:space="preserve"> Moderate electrification across all sectors drives higher capacity requirements, particularly in Chemicals, Steel, and Food sectors.</w:t>
      </w:r>
    </w:p>
    <w:p w14:paraId="3EA9F647" w14:textId="40B50C30" w:rsidR="008813F9" w:rsidRPr="009C0665" w:rsidRDefault="008813F9">
      <w:pPr>
        <w:numPr>
          <w:ilvl w:val="0"/>
          <w:numId w:val="9"/>
        </w:numPr>
        <w:spacing w:after="0" w:line="240" w:lineRule="auto"/>
        <w:jc w:val="both"/>
        <w:rPr>
          <w:rFonts w:ascii="Times New Roman" w:hAnsi="Times New Roman"/>
          <w:color w:val="000000" w:themeColor="text1"/>
          <w:sz w:val="20"/>
          <w:szCs w:val="20"/>
          <w:lang w:val="en-US"/>
        </w:rPr>
      </w:pPr>
      <w:r w:rsidRPr="009C0665">
        <w:rPr>
          <w:rFonts w:ascii="Times New Roman" w:hAnsi="Times New Roman"/>
          <w:b/>
          <w:bCs/>
          <w:color w:val="000000" w:themeColor="text1"/>
          <w:sz w:val="20"/>
          <w:szCs w:val="20"/>
          <w:lang w:val="en-US"/>
        </w:rPr>
        <w:t>Max Electrification:</w:t>
      </w:r>
      <w:r w:rsidRPr="009C0665">
        <w:rPr>
          <w:rFonts w:ascii="Times New Roman" w:hAnsi="Times New Roman"/>
          <w:color w:val="000000" w:themeColor="text1"/>
          <w:sz w:val="20"/>
          <w:szCs w:val="20"/>
          <w:lang w:val="en-US"/>
        </w:rPr>
        <w:t xml:space="preserve"> Aggressive electrification results in significant jumps across all sectors </w:t>
      </w:r>
      <w:r w:rsidR="000457EA">
        <w:rPr>
          <w:rFonts w:ascii="Times New Roman" w:hAnsi="Times New Roman"/>
          <w:color w:val="000000" w:themeColor="text1"/>
          <w:sz w:val="20"/>
          <w:szCs w:val="20"/>
          <w:lang w:val="en-US"/>
        </w:rPr>
        <w:t>–</w:t>
      </w:r>
      <w:r w:rsidRPr="009C0665">
        <w:rPr>
          <w:rFonts w:ascii="Times New Roman" w:hAnsi="Times New Roman"/>
          <w:color w:val="000000" w:themeColor="text1"/>
          <w:sz w:val="20"/>
          <w:szCs w:val="20"/>
          <w:lang w:val="en-US"/>
        </w:rPr>
        <w:t xml:space="preserve"> notably:</w:t>
      </w:r>
    </w:p>
    <w:p w14:paraId="1959D557" w14:textId="77777777" w:rsidR="008813F9" w:rsidRPr="009C0665" w:rsidRDefault="008813F9">
      <w:pPr>
        <w:numPr>
          <w:ilvl w:val="1"/>
          <w:numId w:val="9"/>
        </w:numPr>
        <w:spacing w:after="0" w:line="240" w:lineRule="auto"/>
        <w:jc w:val="both"/>
        <w:rPr>
          <w:rFonts w:ascii="Times New Roman" w:hAnsi="Times New Roman"/>
          <w:color w:val="000000" w:themeColor="text1"/>
          <w:sz w:val="20"/>
          <w:szCs w:val="20"/>
          <w:lang w:val="en-US"/>
        </w:rPr>
      </w:pPr>
      <w:r w:rsidRPr="009C0665">
        <w:rPr>
          <w:rFonts w:ascii="Times New Roman" w:hAnsi="Times New Roman"/>
          <w:b/>
          <w:bCs/>
          <w:color w:val="000000" w:themeColor="text1"/>
          <w:sz w:val="20"/>
          <w:szCs w:val="20"/>
          <w:lang w:val="en-US"/>
        </w:rPr>
        <w:t>Food &amp; Drink</w:t>
      </w:r>
      <w:r w:rsidRPr="009C0665">
        <w:rPr>
          <w:rFonts w:ascii="Times New Roman" w:hAnsi="Times New Roman"/>
          <w:color w:val="000000" w:themeColor="text1"/>
          <w:sz w:val="20"/>
          <w:szCs w:val="20"/>
          <w:lang w:val="en-US"/>
        </w:rPr>
        <w:t xml:space="preserve"> rises sharply due to electric ovens, sterilization, and chilling.</w:t>
      </w:r>
    </w:p>
    <w:p w14:paraId="265A3263" w14:textId="77777777" w:rsidR="008813F9" w:rsidRPr="009C0665" w:rsidRDefault="008813F9">
      <w:pPr>
        <w:numPr>
          <w:ilvl w:val="1"/>
          <w:numId w:val="9"/>
        </w:numPr>
        <w:spacing w:after="0" w:line="240" w:lineRule="auto"/>
        <w:jc w:val="both"/>
        <w:rPr>
          <w:rFonts w:ascii="Times New Roman" w:hAnsi="Times New Roman"/>
          <w:color w:val="000000" w:themeColor="text1"/>
          <w:sz w:val="20"/>
          <w:szCs w:val="20"/>
          <w:lang w:val="en-US"/>
        </w:rPr>
      </w:pPr>
      <w:r w:rsidRPr="009C0665">
        <w:rPr>
          <w:rFonts w:ascii="Times New Roman" w:hAnsi="Times New Roman"/>
          <w:b/>
          <w:bCs/>
          <w:color w:val="000000" w:themeColor="text1"/>
          <w:sz w:val="20"/>
          <w:szCs w:val="20"/>
          <w:lang w:val="en-US"/>
        </w:rPr>
        <w:t>Chemicals</w:t>
      </w:r>
      <w:r w:rsidRPr="009C0665">
        <w:rPr>
          <w:rFonts w:ascii="Times New Roman" w:hAnsi="Times New Roman"/>
          <w:color w:val="000000" w:themeColor="text1"/>
          <w:sz w:val="20"/>
          <w:szCs w:val="20"/>
          <w:lang w:val="en-US"/>
        </w:rPr>
        <w:t xml:space="preserve"> sees high capacity needs due to electric cracking and hydrogen production.</w:t>
      </w:r>
    </w:p>
    <w:p w14:paraId="6D4BDA40" w14:textId="77777777" w:rsidR="008813F9" w:rsidRPr="009C0665" w:rsidRDefault="008813F9">
      <w:pPr>
        <w:numPr>
          <w:ilvl w:val="1"/>
          <w:numId w:val="9"/>
        </w:numPr>
        <w:spacing w:after="0" w:line="240" w:lineRule="auto"/>
        <w:jc w:val="both"/>
        <w:rPr>
          <w:rFonts w:ascii="Times New Roman" w:hAnsi="Times New Roman"/>
          <w:color w:val="000000" w:themeColor="text1"/>
          <w:sz w:val="20"/>
          <w:szCs w:val="20"/>
          <w:lang w:val="en-US"/>
        </w:rPr>
      </w:pPr>
      <w:r w:rsidRPr="009C0665">
        <w:rPr>
          <w:rFonts w:ascii="Times New Roman" w:hAnsi="Times New Roman"/>
          <w:b/>
          <w:bCs/>
          <w:color w:val="000000" w:themeColor="text1"/>
          <w:sz w:val="20"/>
          <w:szCs w:val="20"/>
          <w:lang w:val="en-US"/>
        </w:rPr>
        <w:t>Steel</w:t>
      </w:r>
      <w:r w:rsidRPr="009C0665">
        <w:rPr>
          <w:rFonts w:ascii="Times New Roman" w:hAnsi="Times New Roman"/>
          <w:color w:val="000000" w:themeColor="text1"/>
          <w:sz w:val="20"/>
          <w:szCs w:val="20"/>
          <w:lang w:val="en-US"/>
        </w:rPr>
        <w:t xml:space="preserve"> shows strong growth as electric arc furnaces replace coal-based processes.</w:t>
      </w:r>
    </w:p>
    <w:p w14:paraId="428820F6" w14:textId="77777777" w:rsid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 xml:space="preserve">The results highlight the </w:t>
      </w:r>
      <w:r w:rsidRPr="009C0665">
        <w:rPr>
          <w:rFonts w:ascii="Times New Roman" w:hAnsi="Times New Roman"/>
          <w:color w:val="000000" w:themeColor="text1"/>
          <w:sz w:val="20"/>
          <w:szCs w:val="20"/>
          <w:lang w:val="en-US"/>
        </w:rPr>
        <w:t>critical role of industrial sector profiles</w:t>
      </w:r>
      <w:r w:rsidRPr="008813F9">
        <w:rPr>
          <w:rFonts w:ascii="Times New Roman" w:hAnsi="Times New Roman"/>
          <w:color w:val="000000" w:themeColor="text1"/>
          <w:sz w:val="20"/>
          <w:szCs w:val="20"/>
          <w:lang w:val="en-US"/>
        </w:rPr>
        <w:t xml:space="preserve"> in determining regional grid expansion needs. Next, Figure 2 showing electricity capacity needs by technology type.</w:t>
      </w:r>
    </w:p>
    <w:p w14:paraId="705E1469" w14:textId="77777777" w:rsidR="003C0960" w:rsidRDefault="003C0960" w:rsidP="003C0960">
      <w:pPr>
        <w:spacing w:after="0" w:line="240" w:lineRule="auto"/>
        <w:jc w:val="both"/>
        <w:rPr>
          <w:rFonts w:ascii="Times New Roman" w:hAnsi="Times New Roman"/>
          <w:color w:val="000000" w:themeColor="text1"/>
          <w:sz w:val="18"/>
          <w:szCs w:val="18"/>
          <w:lang w:val="en-US"/>
        </w:rPr>
      </w:pPr>
    </w:p>
    <w:p w14:paraId="7B654DD6" w14:textId="77777777" w:rsidR="008813F9" w:rsidRPr="008813F9" w:rsidRDefault="008813F9" w:rsidP="003C0960">
      <w:pPr>
        <w:pStyle w:val="NormalnyWeb"/>
        <w:spacing w:before="0" w:beforeAutospacing="0" w:after="0" w:afterAutospacing="0"/>
        <w:jc w:val="center"/>
        <w:rPr>
          <w:rFonts w:ascii="Times New Roman" w:hAnsi="Times New Roman" w:cs="Times New Roman"/>
          <w:color w:val="000000" w:themeColor="text1"/>
          <w:sz w:val="20"/>
          <w:szCs w:val="20"/>
        </w:rPr>
      </w:pPr>
      <w:r w:rsidRPr="008813F9">
        <w:rPr>
          <w:rFonts w:ascii="Times New Roman" w:hAnsi="Times New Roman" w:cs="Times New Roman"/>
          <w:noProof/>
          <w:color w:val="000000" w:themeColor="text1"/>
          <w:sz w:val="20"/>
          <w:szCs w:val="20"/>
        </w:rPr>
        <w:drawing>
          <wp:inline distT="0" distB="0" distL="0" distR="0" wp14:anchorId="142C7CEE" wp14:editId="2AA7D78D">
            <wp:extent cx="5019675" cy="2457450"/>
            <wp:effectExtent l="0" t="0" r="9525" b="0"/>
            <wp:docPr id="6" name="Image 6" descr="Bar chart showing industrial capacity needs by technology type in 2050: direct electric, hybrid systems, CCS-based and hydrogen-ba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Bar chart showing industrial capacity needs by technology type in 2050: direct electric, hybrid systems, CCS-based and hydrogen-based"/>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5840"/>
                    <a:stretch>
                      <a:fillRect/>
                    </a:stretch>
                  </pic:blipFill>
                  <pic:spPr bwMode="auto">
                    <a:xfrm>
                      <a:off x="0" y="0"/>
                      <a:ext cx="5019675" cy="2457450"/>
                    </a:xfrm>
                    <a:prstGeom prst="rect">
                      <a:avLst/>
                    </a:prstGeom>
                    <a:noFill/>
                    <a:ln>
                      <a:noFill/>
                    </a:ln>
                    <a:extLst>
                      <a:ext uri="{53640926-AAD7-44D8-BBD7-CCE9431645EC}">
                        <a14:shadowObscured xmlns:a14="http://schemas.microsoft.com/office/drawing/2010/main"/>
                      </a:ext>
                    </a:extLst>
                  </pic:spPr>
                </pic:pic>
              </a:graphicData>
            </a:graphic>
          </wp:inline>
        </w:drawing>
      </w:r>
    </w:p>
    <w:p w14:paraId="7AE70B8A" w14:textId="77777777" w:rsidR="003C0960" w:rsidRPr="009C0665" w:rsidRDefault="003C0960" w:rsidP="003C0960">
      <w:pPr>
        <w:spacing w:after="0" w:line="240" w:lineRule="auto"/>
        <w:jc w:val="both"/>
        <w:rPr>
          <w:sz w:val="18"/>
          <w:szCs w:val="18"/>
          <w:lang w:val="en-US"/>
        </w:rPr>
      </w:pPr>
      <w:r w:rsidRPr="009C0665">
        <w:rPr>
          <w:rFonts w:ascii="Times New Roman" w:hAnsi="Times New Roman"/>
          <w:color w:val="000000" w:themeColor="text1"/>
          <w:sz w:val="18"/>
          <w:szCs w:val="18"/>
          <w:lang w:val="en-US"/>
        </w:rPr>
        <w:t>Figure 2. Industrial capacity needs by technology type in 2050, source: own elaboration</w:t>
      </w:r>
    </w:p>
    <w:p w14:paraId="76E99ADD" w14:textId="77777777" w:rsidR="003C0960" w:rsidRDefault="003C0960" w:rsidP="008813F9">
      <w:pPr>
        <w:pStyle w:val="NormalnyWeb"/>
        <w:spacing w:before="0" w:beforeAutospacing="0" w:after="0" w:afterAutospacing="0"/>
        <w:rPr>
          <w:rFonts w:ascii="Times New Roman" w:hAnsi="Times New Roman" w:cs="Times New Roman"/>
          <w:color w:val="000000" w:themeColor="text1"/>
          <w:sz w:val="20"/>
          <w:szCs w:val="20"/>
          <w:lang w:val="en-US"/>
        </w:rPr>
      </w:pPr>
    </w:p>
    <w:p w14:paraId="78680E17" w14:textId="511A3ED7" w:rsidR="008813F9" w:rsidRPr="008813F9" w:rsidRDefault="008813F9" w:rsidP="008813F9">
      <w:pPr>
        <w:pStyle w:val="NormalnyWeb"/>
        <w:spacing w:before="0" w:beforeAutospacing="0" w:after="0" w:afterAutospacing="0"/>
        <w:rPr>
          <w:rFonts w:ascii="Times New Roman" w:hAnsi="Times New Roman" w:cs="Times New Roman"/>
          <w:color w:val="000000" w:themeColor="text1"/>
          <w:sz w:val="20"/>
          <w:szCs w:val="20"/>
          <w:lang w:val="en-US"/>
        </w:rPr>
      </w:pPr>
      <w:r w:rsidRPr="008813F9">
        <w:rPr>
          <w:rFonts w:ascii="Times New Roman" w:hAnsi="Times New Roman" w:cs="Times New Roman"/>
          <w:color w:val="000000" w:themeColor="text1"/>
          <w:sz w:val="20"/>
          <w:szCs w:val="20"/>
          <w:lang w:val="en-US"/>
        </w:rPr>
        <w:t>This chart breaks down the additional electricity capacity required by industrial technology type under two forward-looking scenarios:</w:t>
      </w:r>
    </w:p>
    <w:p w14:paraId="4AF1723B" w14:textId="19364DF0" w:rsidR="008813F9" w:rsidRPr="009C0665" w:rsidRDefault="008813F9">
      <w:pPr>
        <w:numPr>
          <w:ilvl w:val="0"/>
          <w:numId w:val="10"/>
        </w:numPr>
        <w:spacing w:after="0" w:line="240" w:lineRule="auto"/>
        <w:jc w:val="both"/>
        <w:rPr>
          <w:rFonts w:ascii="Times New Roman" w:hAnsi="Times New Roman"/>
          <w:color w:val="000000" w:themeColor="text1"/>
          <w:sz w:val="20"/>
          <w:szCs w:val="20"/>
          <w:lang w:val="en-US"/>
        </w:rPr>
      </w:pPr>
      <w:r w:rsidRPr="009C0665">
        <w:rPr>
          <w:rFonts w:ascii="Times New Roman" w:hAnsi="Times New Roman"/>
          <w:b/>
          <w:bCs/>
          <w:color w:val="000000" w:themeColor="text1"/>
          <w:sz w:val="20"/>
          <w:szCs w:val="20"/>
          <w:lang w:val="en-US"/>
        </w:rPr>
        <w:t>Direct Electric Technologies</w:t>
      </w:r>
      <w:r w:rsidRPr="009C0665">
        <w:rPr>
          <w:rFonts w:ascii="Times New Roman" w:hAnsi="Times New Roman"/>
          <w:color w:val="000000" w:themeColor="text1"/>
          <w:sz w:val="20"/>
          <w:szCs w:val="20"/>
          <w:lang w:val="en-US"/>
        </w:rPr>
        <w:t xml:space="preserve"> (e.g., electric boilers, heat pumps) dominate in both pathways, particularly under Max Electrification </w:t>
      </w:r>
      <w:r w:rsidR="009C0665">
        <w:rPr>
          <w:rFonts w:ascii="Times New Roman" w:hAnsi="Times New Roman"/>
          <w:color w:val="000000" w:themeColor="text1"/>
          <w:sz w:val="20"/>
          <w:szCs w:val="20"/>
          <w:lang w:val="en-US"/>
        </w:rPr>
        <w:t>–</w:t>
      </w:r>
      <w:r w:rsidRPr="009C0665">
        <w:rPr>
          <w:rFonts w:ascii="Times New Roman" w:hAnsi="Times New Roman"/>
          <w:color w:val="000000" w:themeColor="text1"/>
          <w:sz w:val="20"/>
          <w:szCs w:val="20"/>
          <w:lang w:val="en-US"/>
        </w:rPr>
        <w:t xml:space="preserve"> reflecting their efficiency, maturity, and ease of integration.</w:t>
      </w:r>
    </w:p>
    <w:p w14:paraId="2BB80E3D" w14:textId="77777777" w:rsidR="008813F9" w:rsidRPr="009C0665" w:rsidRDefault="008813F9">
      <w:pPr>
        <w:numPr>
          <w:ilvl w:val="0"/>
          <w:numId w:val="10"/>
        </w:numPr>
        <w:spacing w:after="0" w:line="240" w:lineRule="auto"/>
        <w:jc w:val="both"/>
        <w:rPr>
          <w:rFonts w:ascii="Times New Roman" w:hAnsi="Times New Roman"/>
          <w:color w:val="000000" w:themeColor="text1"/>
          <w:sz w:val="20"/>
          <w:szCs w:val="20"/>
          <w:lang w:val="en-US"/>
        </w:rPr>
      </w:pPr>
      <w:r w:rsidRPr="009C0665">
        <w:rPr>
          <w:rFonts w:ascii="Times New Roman" w:hAnsi="Times New Roman"/>
          <w:b/>
          <w:bCs/>
          <w:color w:val="000000" w:themeColor="text1"/>
          <w:sz w:val="20"/>
          <w:szCs w:val="20"/>
          <w:lang w:val="en-US"/>
        </w:rPr>
        <w:t>Hybrid Systems</w:t>
      </w:r>
      <w:r w:rsidRPr="009C0665">
        <w:rPr>
          <w:rFonts w:ascii="Times New Roman" w:hAnsi="Times New Roman"/>
          <w:color w:val="000000" w:themeColor="text1"/>
          <w:sz w:val="20"/>
          <w:szCs w:val="20"/>
          <w:lang w:val="en-US"/>
        </w:rPr>
        <w:t xml:space="preserve"> (blending electric and thermal fuels) appear as transitional solutions, with higher deployment under Balanced Decarbonization.</w:t>
      </w:r>
    </w:p>
    <w:p w14:paraId="4F06F49B" w14:textId="77777777" w:rsidR="008813F9" w:rsidRPr="009C0665" w:rsidRDefault="008813F9">
      <w:pPr>
        <w:numPr>
          <w:ilvl w:val="0"/>
          <w:numId w:val="10"/>
        </w:numPr>
        <w:spacing w:after="0" w:line="240" w:lineRule="auto"/>
        <w:jc w:val="both"/>
        <w:rPr>
          <w:rFonts w:ascii="Times New Roman" w:hAnsi="Times New Roman"/>
          <w:color w:val="000000" w:themeColor="text1"/>
          <w:sz w:val="20"/>
          <w:szCs w:val="20"/>
          <w:lang w:val="en-US"/>
        </w:rPr>
      </w:pPr>
      <w:r w:rsidRPr="009C0665">
        <w:rPr>
          <w:rFonts w:ascii="Times New Roman" w:hAnsi="Times New Roman"/>
          <w:b/>
          <w:bCs/>
          <w:color w:val="000000" w:themeColor="text1"/>
          <w:sz w:val="20"/>
          <w:szCs w:val="20"/>
          <w:lang w:val="en-US"/>
        </w:rPr>
        <w:t>CCS-based</w:t>
      </w:r>
      <w:r w:rsidRPr="009C0665">
        <w:rPr>
          <w:rFonts w:ascii="Times New Roman" w:hAnsi="Times New Roman"/>
          <w:color w:val="000000" w:themeColor="text1"/>
          <w:sz w:val="20"/>
          <w:szCs w:val="20"/>
          <w:lang w:val="en-US"/>
        </w:rPr>
        <w:t xml:space="preserve"> (Carbon Capture and Storage) options remain relatively marginal, limited by infrastructure and economic barriers.</w:t>
      </w:r>
    </w:p>
    <w:p w14:paraId="58E2ABDC" w14:textId="77777777" w:rsidR="008813F9" w:rsidRPr="009C0665" w:rsidRDefault="008813F9">
      <w:pPr>
        <w:numPr>
          <w:ilvl w:val="0"/>
          <w:numId w:val="10"/>
        </w:numPr>
        <w:spacing w:after="0" w:line="240" w:lineRule="auto"/>
        <w:jc w:val="both"/>
        <w:rPr>
          <w:rFonts w:ascii="Times New Roman" w:hAnsi="Times New Roman"/>
          <w:color w:val="000000" w:themeColor="text1"/>
          <w:sz w:val="20"/>
          <w:szCs w:val="20"/>
          <w:lang w:val="en-US"/>
        </w:rPr>
      </w:pPr>
      <w:r w:rsidRPr="009C0665">
        <w:rPr>
          <w:rFonts w:ascii="Times New Roman" w:hAnsi="Times New Roman"/>
          <w:b/>
          <w:bCs/>
          <w:color w:val="000000" w:themeColor="text1"/>
          <w:sz w:val="20"/>
          <w:szCs w:val="20"/>
          <w:lang w:val="en-US"/>
        </w:rPr>
        <w:t>Hydrogen-based</w:t>
      </w:r>
      <w:r w:rsidRPr="009C0665">
        <w:rPr>
          <w:rFonts w:ascii="Times New Roman" w:hAnsi="Times New Roman"/>
          <w:color w:val="000000" w:themeColor="text1"/>
          <w:sz w:val="20"/>
          <w:szCs w:val="20"/>
          <w:lang w:val="en-US"/>
        </w:rPr>
        <w:t xml:space="preserve"> technologies grow in the Max scenario but still trail direct electrification, particularly due to conversion inefficiencies and infrastructure readiness.</w:t>
      </w:r>
    </w:p>
    <w:p w14:paraId="7F095AA3" w14:textId="719F651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 xml:space="preserve">Direct electrification is projected to drive </w:t>
      </w:r>
      <w:r w:rsidRPr="008813F9">
        <w:rPr>
          <w:rFonts w:ascii="Times New Roman" w:hAnsi="Times New Roman"/>
          <w:b/>
          <w:bCs/>
          <w:color w:val="000000" w:themeColor="text1"/>
          <w:sz w:val="20"/>
          <w:szCs w:val="20"/>
          <w:lang w:val="en-US"/>
        </w:rPr>
        <w:t xml:space="preserve">over </w:t>
      </w:r>
      <w:r w:rsidRPr="008813F9">
        <w:rPr>
          <w:rFonts w:ascii="Times New Roman" w:hAnsi="Times New Roman"/>
          <w:color w:val="000000" w:themeColor="text1"/>
          <w:sz w:val="20"/>
          <w:szCs w:val="20"/>
          <w:lang w:val="en-US"/>
        </w:rPr>
        <w:t xml:space="preserve">60% of industrial electricity demand growth in high-decarbonization pathways </w:t>
      </w:r>
      <w:r w:rsidR="009C0665">
        <w:rPr>
          <w:rFonts w:ascii="Times New Roman" w:hAnsi="Times New Roman"/>
          <w:color w:val="000000" w:themeColor="text1"/>
          <w:sz w:val="20"/>
          <w:szCs w:val="20"/>
          <w:lang w:val="en-US"/>
        </w:rPr>
        <w:t>–</w:t>
      </w:r>
      <w:r w:rsidRPr="008813F9">
        <w:rPr>
          <w:rFonts w:ascii="Times New Roman" w:hAnsi="Times New Roman"/>
          <w:color w:val="000000" w:themeColor="text1"/>
          <w:sz w:val="20"/>
          <w:szCs w:val="20"/>
          <w:lang w:val="en-US"/>
        </w:rPr>
        <w:t xml:space="preserve"> reinforcing the need for a grid that supports high-load electric process adoption across sectors.</w:t>
      </w:r>
    </w:p>
    <w:p w14:paraId="436140C9" w14:textId="77777777" w:rsidR="009C0665" w:rsidRDefault="009C0665" w:rsidP="008813F9">
      <w:pPr>
        <w:spacing w:after="0" w:line="240" w:lineRule="auto"/>
        <w:jc w:val="both"/>
        <w:rPr>
          <w:rFonts w:ascii="Times New Roman" w:hAnsi="Times New Roman"/>
          <w:b/>
          <w:bCs/>
          <w:i/>
          <w:iCs/>
          <w:color w:val="000000" w:themeColor="text1"/>
          <w:sz w:val="20"/>
          <w:szCs w:val="20"/>
          <w:lang w:val="en-US"/>
        </w:rPr>
      </w:pPr>
    </w:p>
    <w:p w14:paraId="24E72317" w14:textId="1BF65949" w:rsidR="008813F9" w:rsidRPr="009C0665" w:rsidRDefault="009C0665" w:rsidP="008813F9">
      <w:pPr>
        <w:spacing w:after="0" w:line="240" w:lineRule="auto"/>
        <w:jc w:val="both"/>
        <w:rPr>
          <w:rFonts w:ascii="Times New Roman" w:hAnsi="Times New Roman"/>
          <w:i/>
          <w:iCs/>
          <w:color w:val="000000" w:themeColor="text1"/>
          <w:sz w:val="20"/>
          <w:szCs w:val="20"/>
          <w:lang w:val="en-US"/>
        </w:rPr>
      </w:pPr>
      <w:r w:rsidRPr="009C0665">
        <w:rPr>
          <w:rFonts w:ascii="Times New Roman" w:hAnsi="Times New Roman"/>
          <w:i/>
          <w:iCs/>
          <w:color w:val="000000" w:themeColor="text1"/>
          <w:sz w:val="20"/>
          <w:szCs w:val="20"/>
          <w:lang w:val="en-US"/>
        </w:rPr>
        <w:t>4</w:t>
      </w:r>
      <w:r w:rsidR="008813F9" w:rsidRPr="009C0665">
        <w:rPr>
          <w:rFonts w:ascii="Times New Roman" w:hAnsi="Times New Roman"/>
          <w:i/>
          <w:iCs/>
          <w:color w:val="000000" w:themeColor="text1"/>
          <w:sz w:val="20"/>
          <w:szCs w:val="20"/>
          <w:lang w:val="en-US"/>
        </w:rPr>
        <w:t xml:space="preserve">.3. </w:t>
      </w:r>
      <w:proofErr w:type="spellStart"/>
      <w:r w:rsidR="008813F9" w:rsidRPr="009C0665">
        <w:rPr>
          <w:rFonts w:ascii="Times New Roman" w:hAnsi="Times New Roman"/>
          <w:i/>
          <w:iCs/>
          <w:color w:val="000000" w:themeColor="text1"/>
          <w:sz w:val="20"/>
          <w:szCs w:val="20"/>
          <w:lang w:val="en-US"/>
        </w:rPr>
        <w:t>Optimisation</w:t>
      </w:r>
      <w:proofErr w:type="spellEnd"/>
      <w:r w:rsidR="008813F9" w:rsidRPr="009C0665">
        <w:rPr>
          <w:rFonts w:ascii="Times New Roman" w:hAnsi="Times New Roman"/>
          <w:i/>
          <w:iCs/>
          <w:color w:val="000000" w:themeColor="text1"/>
          <w:sz w:val="20"/>
          <w:szCs w:val="20"/>
          <w:lang w:val="en-US"/>
        </w:rPr>
        <w:t xml:space="preserve"> process for nearest network substation</w:t>
      </w:r>
    </w:p>
    <w:p w14:paraId="5239F735"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 xml:space="preserve">Industrial sites (point sources) were spatially mapped using emission registry data and industrial facility datasets. For each site </w:t>
      </w:r>
      <w:proofErr w:type="spellStart"/>
      <w:r w:rsidRPr="008813F9">
        <w:rPr>
          <w:rFonts w:ascii="Times New Roman" w:hAnsi="Times New Roman"/>
          <w:i/>
          <w:iCs/>
          <w:color w:val="000000" w:themeColor="text1"/>
          <w:sz w:val="20"/>
          <w:szCs w:val="20"/>
          <w:lang w:val="en-US"/>
        </w:rPr>
        <w:t>i</w:t>
      </w:r>
      <w:proofErr w:type="spellEnd"/>
      <w:r w:rsidRPr="008813F9">
        <w:rPr>
          <w:rFonts w:ascii="Times New Roman" w:hAnsi="Times New Roman"/>
          <w:color w:val="000000" w:themeColor="text1"/>
          <w:sz w:val="20"/>
          <w:szCs w:val="20"/>
          <w:lang w:val="en-US"/>
        </w:rPr>
        <w:t xml:space="preserve"> with coordinates</w:t>
      </w:r>
      <m:oMath>
        <m:d>
          <m:dPr>
            <m:ctrlPr>
              <w:rPr>
                <w:rFonts w:ascii="Cambria Math" w:hAnsi="Cambria Math"/>
                <w:i/>
                <w:color w:val="000000" w:themeColor="text1"/>
                <w:sz w:val="20"/>
                <w:szCs w:val="20"/>
                <w:lang w:val="en-US"/>
              </w:rPr>
            </m:ctrlPr>
          </m:dPr>
          <m:e>
            <m:sSub>
              <m:sSubPr>
                <m:ctrlPr>
                  <w:rPr>
                    <w:rFonts w:ascii="Cambria Math" w:hAnsi="Cambria Math"/>
                    <w:i/>
                    <w:color w:val="000000" w:themeColor="text1"/>
                    <w:sz w:val="20"/>
                    <w:szCs w:val="20"/>
                    <w:lang w:val="en-US"/>
                  </w:rPr>
                </m:ctrlPr>
              </m:sSubPr>
              <m:e>
                <m:r>
                  <w:rPr>
                    <w:rFonts w:ascii="Cambria Math" w:hAnsi="Cambria Math"/>
                    <w:color w:val="000000" w:themeColor="text1"/>
                    <w:sz w:val="20"/>
                    <w:szCs w:val="20"/>
                    <w:lang w:val="en-US"/>
                  </w:rPr>
                  <m:t>lat</m:t>
                </m:r>
              </m:e>
              <m:sub>
                <m:r>
                  <w:rPr>
                    <w:rFonts w:ascii="Cambria Math" w:hAnsi="Cambria Math"/>
                    <w:color w:val="000000" w:themeColor="text1"/>
                    <w:sz w:val="20"/>
                    <w:szCs w:val="20"/>
                    <w:lang w:val="en-US"/>
                  </w:rPr>
                  <m:t>i</m:t>
                </m:r>
              </m:sub>
            </m:sSub>
            <m:r>
              <w:rPr>
                <w:rFonts w:ascii="Cambria Math" w:hAnsi="Cambria Math"/>
                <w:color w:val="000000" w:themeColor="text1"/>
                <w:sz w:val="20"/>
                <w:szCs w:val="20"/>
                <w:lang w:val="en-US"/>
              </w:rPr>
              <m:t>,</m:t>
            </m:r>
            <m:sSub>
              <m:sSubPr>
                <m:ctrlPr>
                  <w:rPr>
                    <w:rFonts w:ascii="Cambria Math" w:hAnsi="Cambria Math"/>
                    <w:i/>
                    <w:color w:val="000000" w:themeColor="text1"/>
                    <w:sz w:val="20"/>
                    <w:szCs w:val="20"/>
                    <w:lang w:val="en-US"/>
                  </w:rPr>
                </m:ctrlPr>
              </m:sSubPr>
              <m:e>
                <m:r>
                  <w:rPr>
                    <w:rFonts w:ascii="Cambria Math" w:hAnsi="Cambria Math"/>
                    <w:color w:val="000000" w:themeColor="text1"/>
                    <w:sz w:val="20"/>
                    <w:szCs w:val="20"/>
                    <w:lang w:val="en-US"/>
                  </w:rPr>
                  <m:t>lon</m:t>
                </m:r>
              </m:e>
              <m:sub>
                <m:r>
                  <w:rPr>
                    <w:rFonts w:ascii="Cambria Math" w:hAnsi="Cambria Math"/>
                    <w:color w:val="000000" w:themeColor="text1"/>
                    <w:sz w:val="20"/>
                    <w:szCs w:val="20"/>
                    <w:lang w:val="en-US"/>
                  </w:rPr>
                  <m:t>i</m:t>
                </m:r>
              </m:sub>
            </m:sSub>
          </m:e>
        </m:d>
      </m:oMath>
      <w:r w:rsidRPr="008813F9">
        <w:rPr>
          <w:rFonts w:ascii="Times New Roman" w:hAnsi="Times New Roman"/>
          <w:color w:val="000000" w:themeColor="text1"/>
          <w:sz w:val="20"/>
          <w:szCs w:val="20"/>
          <w:lang w:val="en-US"/>
        </w:rPr>
        <w:t xml:space="preserve">, the nearest substation </w:t>
      </w:r>
      <w:r w:rsidRPr="008813F9">
        <w:rPr>
          <w:rFonts w:ascii="Times New Roman" w:hAnsi="Times New Roman"/>
          <w:i/>
          <w:iCs/>
          <w:color w:val="000000" w:themeColor="text1"/>
          <w:sz w:val="20"/>
          <w:szCs w:val="20"/>
          <w:lang w:val="en-US"/>
        </w:rPr>
        <w:t>j</w:t>
      </w:r>
      <w:r w:rsidRPr="008813F9">
        <w:rPr>
          <w:rFonts w:ascii="Times New Roman" w:hAnsi="Times New Roman"/>
          <w:color w:val="000000" w:themeColor="text1"/>
          <w:sz w:val="20"/>
          <w:szCs w:val="20"/>
          <w:lang w:val="en-US"/>
        </w:rPr>
        <w:t xml:space="preserve"> was identified using the Haversine formula:</w:t>
      </w:r>
    </w:p>
    <w:p w14:paraId="14CD7B88" w14:textId="77777777" w:rsidR="008813F9" w:rsidRPr="008813F9" w:rsidRDefault="00000000" w:rsidP="008813F9">
      <w:pPr>
        <w:spacing w:after="0" w:line="240" w:lineRule="auto"/>
        <w:jc w:val="both"/>
        <w:rPr>
          <w:rFonts w:ascii="Times New Roman" w:hAnsi="Times New Roman"/>
          <w:color w:val="000000" w:themeColor="text1"/>
          <w:sz w:val="20"/>
          <w:szCs w:val="20"/>
          <w:lang w:val="en-US"/>
        </w:rPr>
      </w:pPr>
      <m:oMathPara>
        <m:oMath>
          <m:sSub>
            <m:sSubPr>
              <m:ctrlPr>
                <w:rPr>
                  <w:rFonts w:ascii="Cambria Math" w:hAnsi="Cambria Math"/>
                  <w:i/>
                  <w:color w:val="000000" w:themeColor="text1"/>
                  <w:sz w:val="20"/>
                  <w:szCs w:val="20"/>
                  <w:lang w:val="en-US"/>
                </w:rPr>
              </m:ctrlPr>
            </m:sSubPr>
            <m:e>
              <m:r>
                <w:rPr>
                  <w:rFonts w:ascii="Cambria Math" w:hAnsi="Cambria Math"/>
                  <w:color w:val="000000" w:themeColor="text1"/>
                  <w:sz w:val="20"/>
                  <w:szCs w:val="20"/>
                  <w:lang w:val="en-US"/>
                </w:rPr>
                <m:t>d</m:t>
              </m:r>
            </m:e>
            <m:sub>
              <m:r>
                <w:rPr>
                  <w:rFonts w:ascii="Cambria Math" w:hAnsi="Cambria Math"/>
                  <w:color w:val="000000" w:themeColor="text1"/>
                  <w:sz w:val="20"/>
                  <w:szCs w:val="20"/>
                  <w:lang w:val="en-US"/>
                </w:rPr>
                <m:t>i,j</m:t>
              </m:r>
            </m:sub>
          </m:sSub>
          <m:r>
            <w:rPr>
              <w:rFonts w:ascii="Cambria Math" w:hAnsi="Cambria Math"/>
              <w:color w:val="000000" w:themeColor="text1"/>
              <w:sz w:val="20"/>
              <w:szCs w:val="20"/>
              <w:lang w:val="en-US"/>
            </w:rPr>
            <m:t>=2R.arcsin</m:t>
          </m:r>
          <m:d>
            <m:dPr>
              <m:ctrlPr>
                <w:rPr>
                  <w:rFonts w:ascii="Cambria Math" w:hAnsi="Cambria Math"/>
                  <w:i/>
                  <w:color w:val="000000" w:themeColor="text1"/>
                  <w:sz w:val="20"/>
                  <w:szCs w:val="20"/>
                  <w:lang w:val="en-US"/>
                </w:rPr>
              </m:ctrlPr>
            </m:dPr>
            <m:e>
              <m:rad>
                <m:radPr>
                  <m:degHide m:val="1"/>
                  <m:ctrlPr>
                    <w:rPr>
                      <w:rFonts w:ascii="Cambria Math" w:hAnsi="Cambria Math"/>
                      <w:i/>
                      <w:color w:val="000000" w:themeColor="text1"/>
                      <w:sz w:val="20"/>
                      <w:szCs w:val="20"/>
                      <w:lang w:val="en-US"/>
                    </w:rPr>
                  </m:ctrlPr>
                </m:radPr>
                <m:deg/>
                <m:e>
                  <m:sSup>
                    <m:sSupPr>
                      <m:ctrlPr>
                        <w:rPr>
                          <w:rFonts w:ascii="Cambria Math" w:hAnsi="Cambria Math"/>
                          <w:i/>
                          <w:color w:val="000000" w:themeColor="text1"/>
                          <w:sz w:val="20"/>
                          <w:szCs w:val="20"/>
                          <w:lang w:val="en-US"/>
                        </w:rPr>
                      </m:ctrlPr>
                    </m:sSupPr>
                    <m:e>
                      <m:r>
                        <w:rPr>
                          <w:rFonts w:ascii="Cambria Math" w:hAnsi="Cambria Math"/>
                          <w:color w:val="000000" w:themeColor="text1"/>
                          <w:sz w:val="20"/>
                          <w:szCs w:val="20"/>
                          <w:lang w:val="en-US"/>
                        </w:rPr>
                        <m:t>sin</m:t>
                      </m:r>
                    </m:e>
                    <m:sup>
                      <m:r>
                        <w:rPr>
                          <w:rFonts w:ascii="Cambria Math" w:hAnsi="Cambria Math"/>
                          <w:color w:val="000000" w:themeColor="text1"/>
                          <w:sz w:val="20"/>
                          <w:szCs w:val="20"/>
                          <w:lang w:val="en-US"/>
                        </w:rPr>
                        <m:t>2</m:t>
                      </m:r>
                    </m:sup>
                  </m:sSup>
                  <m:d>
                    <m:dPr>
                      <m:ctrlPr>
                        <w:rPr>
                          <w:rFonts w:ascii="Cambria Math" w:hAnsi="Cambria Math"/>
                          <w:i/>
                          <w:color w:val="000000" w:themeColor="text1"/>
                          <w:sz w:val="20"/>
                          <w:szCs w:val="20"/>
                          <w:lang w:val="en-US"/>
                        </w:rPr>
                      </m:ctrlPr>
                    </m:dPr>
                    <m:e>
                      <m:f>
                        <m:fPr>
                          <m:ctrlPr>
                            <w:rPr>
                              <w:rFonts w:ascii="Cambria Math" w:hAnsi="Cambria Math"/>
                              <w:i/>
                              <w:color w:val="000000" w:themeColor="text1"/>
                              <w:sz w:val="20"/>
                              <w:szCs w:val="20"/>
                              <w:lang w:val="en-US"/>
                            </w:rPr>
                          </m:ctrlPr>
                        </m:fPr>
                        <m:num>
                          <m:r>
                            <w:rPr>
                              <w:rFonts w:ascii="Cambria Math" w:hAnsi="Cambria Math"/>
                              <w:color w:val="000000" w:themeColor="text1"/>
                              <w:sz w:val="20"/>
                              <w:szCs w:val="20"/>
                              <w:lang w:val="en-US"/>
                            </w:rPr>
                            <m:t>∆lat</m:t>
                          </m:r>
                        </m:num>
                        <m:den>
                          <m:r>
                            <w:rPr>
                              <w:rFonts w:ascii="Cambria Math" w:hAnsi="Cambria Math"/>
                              <w:color w:val="000000" w:themeColor="text1"/>
                              <w:sz w:val="20"/>
                              <w:szCs w:val="20"/>
                              <w:lang w:val="en-US"/>
                            </w:rPr>
                            <m:t>2</m:t>
                          </m:r>
                        </m:den>
                      </m:f>
                    </m:e>
                  </m:d>
                  <m:r>
                    <w:rPr>
                      <w:rFonts w:ascii="Cambria Math" w:hAnsi="Cambria Math"/>
                      <w:color w:val="000000" w:themeColor="text1"/>
                      <w:sz w:val="20"/>
                      <w:szCs w:val="20"/>
                      <w:lang w:val="en-US"/>
                    </w:rPr>
                    <m:t>+cos</m:t>
                  </m:r>
                  <m:d>
                    <m:dPr>
                      <m:ctrlPr>
                        <w:rPr>
                          <w:rFonts w:ascii="Cambria Math" w:hAnsi="Cambria Math"/>
                          <w:i/>
                          <w:color w:val="000000" w:themeColor="text1"/>
                          <w:sz w:val="20"/>
                          <w:szCs w:val="20"/>
                          <w:lang w:val="en-US"/>
                        </w:rPr>
                      </m:ctrlPr>
                    </m:dPr>
                    <m:e>
                      <m:sSub>
                        <m:sSubPr>
                          <m:ctrlPr>
                            <w:rPr>
                              <w:rFonts w:ascii="Cambria Math" w:hAnsi="Cambria Math"/>
                              <w:i/>
                              <w:color w:val="000000" w:themeColor="text1"/>
                              <w:sz w:val="20"/>
                              <w:szCs w:val="20"/>
                              <w:lang w:val="en-US"/>
                            </w:rPr>
                          </m:ctrlPr>
                        </m:sSubPr>
                        <m:e>
                          <m:r>
                            <w:rPr>
                              <w:rFonts w:ascii="Cambria Math" w:hAnsi="Cambria Math"/>
                              <w:color w:val="000000" w:themeColor="text1"/>
                              <w:sz w:val="20"/>
                              <w:szCs w:val="20"/>
                              <w:lang w:val="en-US"/>
                            </w:rPr>
                            <m:t>lat</m:t>
                          </m:r>
                        </m:e>
                        <m:sub>
                          <m:r>
                            <w:rPr>
                              <w:rFonts w:ascii="Cambria Math" w:hAnsi="Cambria Math"/>
                              <w:color w:val="000000" w:themeColor="text1"/>
                              <w:sz w:val="20"/>
                              <w:szCs w:val="20"/>
                              <w:lang w:val="en-US"/>
                            </w:rPr>
                            <m:t>i</m:t>
                          </m:r>
                        </m:sub>
                      </m:sSub>
                    </m:e>
                  </m:d>
                  <m:r>
                    <w:rPr>
                      <w:rFonts w:ascii="Cambria Math" w:hAnsi="Cambria Math"/>
                      <w:color w:val="000000" w:themeColor="text1"/>
                      <w:sz w:val="20"/>
                      <w:szCs w:val="20"/>
                      <w:lang w:val="en-US"/>
                    </w:rPr>
                    <m:t>.cos</m:t>
                  </m:r>
                  <m:d>
                    <m:dPr>
                      <m:ctrlPr>
                        <w:rPr>
                          <w:rFonts w:ascii="Cambria Math" w:hAnsi="Cambria Math"/>
                          <w:i/>
                          <w:color w:val="000000" w:themeColor="text1"/>
                          <w:sz w:val="20"/>
                          <w:szCs w:val="20"/>
                          <w:lang w:val="en-US"/>
                        </w:rPr>
                      </m:ctrlPr>
                    </m:dPr>
                    <m:e>
                      <m:sSub>
                        <m:sSubPr>
                          <m:ctrlPr>
                            <w:rPr>
                              <w:rFonts w:ascii="Cambria Math" w:hAnsi="Cambria Math"/>
                              <w:i/>
                              <w:color w:val="000000" w:themeColor="text1"/>
                              <w:sz w:val="20"/>
                              <w:szCs w:val="20"/>
                              <w:lang w:val="en-US"/>
                            </w:rPr>
                          </m:ctrlPr>
                        </m:sSubPr>
                        <m:e>
                          <m:r>
                            <w:rPr>
                              <w:rFonts w:ascii="Cambria Math" w:hAnsi="Cambria Math"/>
                              <w:color w:val="000000" w:themeColor="text1"/>
                              <w:sz w:val="20"/>
                              <w:szCs w:val="20"/>
                              <w:lang w:val="en-US"/>
                            </w:rPr>
                            <m:t>lat</m:t>
                          </m:r>
                        </m:e>
                        <m:sub>
                          <m:r>
                            <w:rPr>
                              <w:rFonts w:ascii="Cambria Math" w:hAnsi="Cambria Math"/>
                              <w:color w:val="000000" w:themeColor="text1"/>
                              <w:sz w:val="20"/>
                              <w:szCs w:val="20"/>
                              <w:lang w:val="en-US"/>
                            </w:rPr>
                            <m:t>j</m:t>
                          </m:r>
                        </m:sub>
                      </m:sSub>
                    </m:e>
                  </m:d>
                  <m:r>
                    <w:rPr>
                      <w:rFonts w:ascii="Cambria Math" w:hAnsi="Cambria Math"/>
                      <w:color w:val="000000" w:themeColor="text1"/>
                      <w:sz w:val="20"/>
                      <w:szCs w:val="20"/>
                      <w:lang w:val="en-US"/>
                    </w:rPr>
                    <m:t>.</m:t>
                  </m:r>
                  <m:sSup>
                    <m:sSupPr>
                      <m:ctrlPr>
                        <w:rPr>
                          <w:rFonts w:ascii="Cambria Math" w:hAnsi="Cambria Math"/>
                          <w:i/>
                          <w:color w:val="000000" w:themeColor="text1"/>
                          <w:sz w:val="20"/>
                          <w:szCs w:val="20"/>
                          <w:lang w:val="en-US"/>
                        </w:rPr>
                      </m:ctrlPr>
                    </m:sSupPr>
                    <m:e>
                      <m:r>
                        <w:rPr>
                          <w:rFonts w:ascii="Cambria Math" w:hAnsi="Cambria Math"/>
                          <w:color w:val="000000" w:themeColor="text1"/>
                          <w:sz w:val="20"/>
                          <w:szCs w:val="20"/>
                          <w:lang w:val="en-US"/>
                        </w:rPr>
                        <m:t>sin</m:t>
                      </m:r>
                    </m:e>
                    <m:sup>
                      <m:r>
                        <w:rPr>
                          <w:rFonts w:ascii="Cambria Math" w:hAnsi="Cambria Math"/>
                          <w:color w:val="000000" w:themeColor="text1"/>
                          <w:sz w:val="20"/>
                          <w:szCs w:val="20"/>
                          <w:lang w:val="en-US"/>
                        </w:rPr>
                        <m:t>2</m:t>
                      </m:r>
                    </m:sup>
                  </m:sSup>
                  <m:d>
                    <m:dPr>
                      <m:ctrlPr>
                        <w:rPr>
                          <w:rFonts w:ascii="Cambria Math" w:hAnsi="Cambria Math"/>
                          <w:i/>
                          <w:color w:val="000000" w:themeColor="text1"/>
                          <w:sz w:val="20"/>
                          <w:szCs w:val="20"/>
                          <w:lang w:val="en-US"/>
                        </w:rPr>
                      </m:ctrlPr>
                    </m:dPr>
                    <m:e>
                      <m:f>
                        <m:fPr>
                          <m:ctrlPr>
                            <w:rPr>
                              <w:rFonts w:ascii="Cambria Math" w:hAnsi="Cambria Math"/>
                              <w:i/>
                              <w:color w:val="000000" w:themeColor="text1"/>
                              <w:sz w:val="20"/>
                              <w:szCs w:val="20"/>
                              <w:lang w:val="en-US"/>
                            </w:rPr>
                          </m:ctrlPr>
                        </m:fPr>
                        <m:num>
                          <m:r>
                            <w:rPr>
                              <w:rFonts w:ascii="Cambria Math" w:hAnsi="Cambria Math"/>
                              <w:color w:val="000000" w:themeColor="text1"/>
                              <w:sz w:val="20"/>
                              <w:szCs w:val="20"/>
                              <w:lang w:val="en-US"/>
                            </w:rPr>
                            <m:t>∆lon</m:t>
                          </m:r>
                        </m:num>
                        <m:den>
                          <m:r>
                            <w:rPr>
                              <w:rFonts w:ascii="Cambria Math" w:hAnsi="Cambria Math"/>
                              <w:color w:val="000000" w:themeColor="text1"/>
                              <w:sz w:val="20"/>
                              <w:szCs w:val="20"/>
                              <w:lang w:val="en-US"/>
                            </w:rPr>
                            <m:t>2</m:t>
                          </m:r>
                        </m:den>
                      </m:f>
                    </m:e>
                  </m:d>
                </m:e>
              </m:rad>
            </m:e>
          </m:d>
        </m:oMath>
      </m:oMathPara>
    </w:p>
    <w:p w14:paraId="2A08CAA1" w14:textId="77777777" w:rsidR="008813F9" w:rsidRPr="008813F9" w:rsidRDefault="008813F9" w:rsidP="008813F9">
      <w:pPr>
        <w:spacing w:after="0" w:line="240" w:lineRule="auto"/>
        <w:jc w:val="both"/>
        <w:rPr>
          <w:rFonts w:ascii="Times New Roman" w:hAnsi="Times New Roman"/>
          <w:color w:val="000000" w:themeColor="text1"/>
          <w:sz w:val="20"/>
          <w:szCs w:val="20"/>
        </w:rPr>
      </w:pPr>
      <w:proofErr w:type="spellStart"/>
      <w:r w:rsidRPr="008813F9">
        <w:rPr>
          <w:rFonts w:ascii="Times New Roman" w:hAnsi="Times New Roman"/>
          <w:color w:val="000000" w:themeColor="text1"/>
          <w:sz w:val="20"/>
          <w:szCs w:val="20"/>
        </w:rPr>
        <w:t>Where</w:t>
      </w:r>
      <w:proofErr w:type="spellEnd"/>
      <w:r w:rsidRPr="008813F9">
        <w:rPr>
          <w:rFonts w:ascii="Times New Roman" w:hAnsi="Times New Roman"/>
          <w:color w:val="000000" w:themeColor="text1"/>
          <w:sz w:val="20"/>
          <w:szCs w:val="20"/>
        </w:rPr>
        <w:t> :</w:t>
      </w:r>
    </w:p>
    <w:p w14:paraId="2E523B23" w14:textId="77777777" w:rsidR="008813F9" w:rsidRPr="008813F9" w:rsidRDefault="008813F9">
      <w:pPr>
        <w:numPr>
          <w:ilvl w:val="0"/>
          <w:numId w:val="7"/>
        </w:numPr>
        <w:spacing w:after="0" w:line="240" w:lineRule="auto"/>
        <w:jc w:val="both"/>
        <w:rPr>
          <w:rFonts w:ascii="Times New Roman" w:hAnsi="Times New Roman"/>
          <w:color w:val="000000" w:themeColor="text1"/>
          <w:sz w:val="20"/>
          <w:szCs w:val="20"/>
        </w:rPr>
      </w:pPr>
      <m:oMath>
        <m:r>
          <w:rPr>
            <w:rFonts w:ascii="Cambria Math" w:hAnsi="Cambria Math"/>
            <w:color w:val="000000" w:themeColor="text1"/>
            <w:sz w:val="20"/>
            <w:szCs w:val="20"/>
            <w:lang w:val="en-US"/>
          </w:rPr>
          <m:t>R</m:t>
        </m:r>
      </m:oMath>
      <w:r w:rsidRPr="008813F9">
        <w:rPr>
          <w:rFonts w:ascii="Times New Roman" w:hAnsi="Times New Roman"/>
          <w:color w:val="000000" w:themeColor="text1"/>
          <w:sz w:val="20"/>
          <w:szCs w:val="20"/>
        </w:rPr>
        <w:t xml:space="preserve"> = 6371 km (Earth radius)</w:t>
      </w:r>
    </w:p>
    <w:p w14:paraId="23B36D7B" w14:textId="77777777" w:rsidR="008813F9" w:rsidRPr="008813F9" w:rsidRDefault="008813F9">
      <w:pPr>
        <w:numPr>
          <w:ilvl w:val="0"/>
          <w:numId w:val="7"/>
        </w:numPr>
        <w:spacing w:after="0" w:line="240" w:lineRule="auto"/>
        <w:jc w:val="both"/>
        <w:rPr>
          <w:rFonts w:ascii="Times New Roman" w:hAnsi="Times New Roman"/>
          <w:color w:val="000000" w:themeColor="text1"/>
          <w:sz w:val="20"/>
          <w:szCs w:val="20"/>
        </w:rPr>
      </w:pPr>
      <m:oMath>
        <m:r>
          <w:rPr>
            <w:rFonts w:ascii="Cambria Math" w:hAnsi="Cambria Math"/>
            <w:color w:val="000000" w:themeColor="text1"/>
            <w:sz w:val="20"/>
            <w:szCs w:val="20"/>
            <w:lang w:val="en-US"/>
          </w:rPr>
          <m:t>∆lat=</m:t>
        </m:r>
        <m:sSub>
          <m:sSubPr>
            <m:ctrlPr>
              <w:rPr>
                <w:rFonts w:ascii="Cambria Math" w:hAnsi="Cambria Math"/>
                <w:i/>
                <w:color w:val="000000" w:themeColor="text1"/>
                <w:sz w:val="20"/>
                <w:szCs w:val="20"/>
                <w:lang w:val="en-US"/>
              </w:rPr>
            </m:ctrlPr>
          </m:sSubPr>
          <m:e>
            <m:r>
              <w:rPr>
                <w:rFonts w:ascii="Cambria Math" w:hAnsi="Cambria Math"/>
                <w:color w:val="000000" w:themeColor="text1"/>
                <w:sz w:val="20"/>
                <w:szCs w:val="20"/>
                <w:lang w:val="en-US"/>
              </w:rPr>
              <m:t>lat</m:t>
            </m:r>
          </m:e>
          <m:sub>
            <m:r>
              <w:rPr>
                <w:rFonts w:ascii="Cambria Math" w:hAnsi="Cambria Math"/>
                <w:color w:val="000000" w:themeColor="text1"/>
                <w:sz w:val="20"/>
                <w:szCs w:val="20"/>
                <w:lang w:val="en-US"/>
              </w:rPr>
              <m:t>j</m:t>
            </m:r>
          </m:sub>
        </m:sSub>
        <m:r>
          <w:rPr>
            <w:rFonts w:ascii="Cambria Math" w:hAnsi="Cambria Math"/>
            <w:color w:val="000000" w:themeColor="text1"/>
            <w:sz w:val="20"/>
            <w:szCs w:val="20"/>
            <w:lang w:val="en-US"/>
          </w:rPr>
          <m:t>-</m:t>
        </m:r>
        <m:sSub>
          <m:sSubPr>
            <m:ctrlPr>
              <w:rPr>
                <w:rFonts w:ascii="Cambria Math" w:hAnsi="Cambria Math"/>
                <w:i/>
                <w:color w:val="000000" w:themeColor="text1"/>
                <w:sz w:val="20"/>
                <w:szCs w:val="20"/>
                <w:lang w:val="en-US"/>
              </w:rPr>
            </m:ctrlPr>
          </m:sSubPr>
          <m:e>
            <m:r>
              <w:rPr>
                <w:rFonts w:ascii="Cambria Math" w:hAnsi="Cambria Math"/>
                <w:color w:val="000000" w:themeColor="text1"/>
                <w:sz w:val="20"/>
                <w:szCs w:val="20"/>
                <w:lang w:val="en-US"/>
              </w:rPr>
              <m:t>lat</m:t>
            </m:r>
          </m:e>
          <m:sub>
            <m:r>
              <w:rPr>
                <w:rFonts w:ascii="Cambria Math" w:hAnsi="Cambria Math"/>
                <w:color w:val="000000" w:themeColor="text1"/>
                <w:sz w:val="20"/>
                <w:szCs w:val="20"/>
                <w:lang w:val="en-US"/>
              </w:rPr>
              <m:t>i</m:t>
            </m:r>
          </m:sub>
        </m:sSub>
      </m:oMath>
    </w:p>
    <w:p w14:paraId="357BD144" w14:textId="77777777" w:rsidR="008813F9" w:rsidRPr="008813F9" w:rsidRDefault="008813F9">
      <w:pPr>
        <w:numPr>
          <w:ilvl w:val="0"/>
          <w:numId w:val="7"/>
        </w:numPr>
        <w:spacing w:after="0" w:line="240" w:lineRule="auto"/>
        <w:jc w:val="both"/>
        <w:rPr>
          <w:rFonts w:ascii="Times New Roman" w:hAnsi="Times New Roman"/>
          <w:color w:val="000000" w:themeColor="text1"/>
          <w:sz w:val="20"/>
          <w:szCs w:val="20"/>
        </w:rPr>
      </w:pPr>
      <m:oMath>
        <m:r>
          <w:rPr>
            <w:rFonts w:ascii="Cambria Math" w:hAnsi="Cambria Math"/>
            <w:color w:val="000000" w:themeColor="text1"/>
            <w:sz w:val="20"/>
            <w:szCs w:val="20"/>
            <w:lang w:val="en-US"/>
          </w:rPr>
          <m:t>∆lon=</m:t>
        </m:r>
        <m:sSub>
          <m:sSubPr>
            <m:ctrlPr>
              <w:rPr>
                <w:rFonts w:ascii="Cambria Math" w:hAnsi="Cambria Math"/>
                <w:i/>
                <w:color w:val="000000" w:themeColor="text1"/>
                <w:sz w:val="20"/>
                <w:szCs w:val="20"/>
                <w:lang w:val="en-US"/>
              </w:rPr>
            </m:ctrlPr>
          </m:sSubPr>
          <m:e>
            <m:r>
              <w:rPr>
                <w:rFonts w:ascii="Cambria Math" w:hAnsi="Cambria Math"/>
                <w:color w:val="000000" w:themeColor="text1"/>
                <w:sz w:val="20"/>
                <w:szCs w:val="20"/>
                <w:lang w:val="en-US"/>
              </w:rPr>
              <m:t>lon</m:t>
            </m:r>
          </m:e>
          <m:sub>
            <m:r>
              <w:rPr>
                <w:rFonts w:ascii="Cambria Math" w:hAnsi="Cambria Math"/>
                <w:color w:val="000000" w:themeColor="text1"/>
                <w:sz w:val="20"/>
                <w:szCs w:val="20"/>
                <w:lang w:val="en-US"/>
              </w:rPr>
              <m:t>j</m:t>
            </m:r>
          </m:sub>
        </m:sSub>
        <m:r>
          <w:rPr>
            <w:rFonts w:ascii="Cambria Math" w:hAnsi="Cambria Math"/>
            <w:color w:val="000000" w:themeColor="text1"/>
            <w:sz w:val="20"/>
            <w:szCs w:val="20"/>
            <w:lang w:val="en-US"/>
          </w:rPr>
          <m:t>-</m:t>
        </m:r>
        <m:sSub>
          <m:sSubPr>
            <m:ctrlPr>
              <w:rPr>
                <w:rFonts w:ascii="Cambria Math" w:hAnsi="Cambria Math"/>
                <w:i/>
                <w:color w:val="000000" w:themeColor="text1"/>
                <w:sz w:val="20"/>
                <w:szCs w:val="20"/>
                <w:lang w:val="en-US"/>
              </w:rPr>
            </m:ctrlPr>
          </m:sSubPr>
          <m:e>
            <m:r>
              <w:rPr>
                <w:rFonts w:ascii="Cambria Math" w:hAnsi="Cambria Math"/>
                <w:color w:val="000000" w:themeColor="text1"/>
                <w:sz w:val="20"/>
                <w:szCs w:val="20"/>
                <w:lang w:val="en-US"/>
              </w:rPr>
              <m:t>lon</m:t>
            </m:r>
          </m:e>
          <m:sub>
            <m:r>
              <w:rPr>
                <w:rFonts w:ascii="Cambria Math" w:hAnsi="Cambria Math"/>
                <w:color w:val="000000" w:themeColor="text1"/>
                <w:sz w:val="20"/>
                <w:szCs w:val="20"/>
                <w:lang w:val="en-US"/>
              </w:rPr>
              <m:t>i</m:t>
            </m:r>
          </m:sub>
        </m:sSub>
      </m:oMath>
    </w:p>
    <w:p w14:paraId="6A17DF6A"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An allocation algorithm prioritized connecting low-demand sites first to maximize headroom utilization. The constraint condition was defined as:</w:t>
      </w:r>
    </w:p>
    <w:p w14:paraId="30E2CAD0" w14:textId="77777777" w:rsidR="008813F9" w:rsidRPr="008813F9" w:rsidRDefault="00000000" w:rsidP="008813F9">
      <w:pPr>
        <w:spacing w:after="0" w:line="240" w:lineRule="auto"/>
        <w:jc w:val="both"/>
        <w:rPr>
          <w:rFonts w:ascii="Times New Roman" w:hAnsi="Times New Roman"/>
          <w:color w:val="000000" w:themeColor="text1"/>
          <w:sz w:val="20"/>
          <w:szCs w:val="20"/>
        </w:rPr>
      </w:pPr>
      <m:oMathPara>
        <m:oMath>
          <m:sSubSup>
            <m:sSubSupPr>
              <m:ctrlPr>
                <w:rPr>
                  <w:rFonts w:ascii="Cambria Math" w:hAnsi="Cambria Math"/>
                  <w:i/>
                  <w:color w:val="000000" w:themeColor="text1"/>
                  <w:sz w:val="20"/>
                  <w:szCs w:val="20"/>
                  <w:lang w:val="en-US"/>
                </w:rPr>
              </m:ctrlPr>
            </m:sSubSupPr>
            <m:e>
              <m:r>
                <w:rPr>
                  <w:rFonts w:ascii="Cambria Math" w:hAnsi="Cambria Math"/>
                  <w:color w:val="000000" w:themeColor="text1"/>
                  <w:sz w:val="20"/>
                  <w:szCs w:val="20"/>
                  <w:lang w:val="en-US"/>
                </w:rPr>
                <m:t>C</m:t>
              </m:r>
            </m:e>
            <m:sub>
              <m:r>
                <w:rPr>
                  <w:rFonts w:ascii="Cambria Math" w:hAnsi="Cambria Math"/>
                  <w:color w:val="000000" w:themeColor="text1"/>
                  <w:sz w:val="20"/>
                  <w:szCs w:val="20"/>
                  <w:lang w:val="en-US"/>
                </w:rPr>
                <m:t>i,t</m:t>
              </m:r>
            </m:sub>
            <m:sup>
              <m:r>
                <w:rPr>
                  <w:rFonts w:ascii="Cambria Math" w:hAnsi="Cambria Math"/>
                  <w:color w:val="000000" w:themeColor="text1"/>
                  <w:sz w:val="20"/>
                  <w:szCs w:val="20"/>
                  <w:lang w:val="en-US"/>
                </w:rPr>
                <m:t>com</m:t>
              </m:r>
            </m:sup>
          </m:sSubSup>
          <m:r>
            <w:rPr>
              <w:rFonts w:ascii="Cambria Math" w:hAnsi="Cambria Math"/>
              <w:color w:val="000000" w:themeColor="text1"/>
              <w:sz w:val="20"/>
              <w:szCs w:val="20"/>
              <w:lang w:val="en-US"/>
            </w:rPr>
            <m:t>=max</m:t>
          </m:r>
          <m:d>
            <m:dPr>
              <m:ctrlPr>
                <w:rPr>
                  <w:rFonts w:ascii="Cambria Math" w:hAnsi="Cambria Math"/>
                  <w:i/>
                  <w:color w:val="000000" w:themeColor="text1"/>
                  <w:sz w:val="20"/>
                  <w:szCs w:val="20"/>
                  <w:lang w:val="en-US"/>
                </w:rPr>
              </m:ctrlPr>
            </m:dPr>
            <m:e>
              <m:r>
                <w:rPr>
                  <w:rFonts w:ascii="Cambria Math" w:hAnsi="Cambria Math"/>
                  <w:color w:val="000000" w:themeColor="text1"/>
                  <w:sz w:val="20"/>
                  <w:szCs w:val="20"/>
                  <w:lang w:val="en-US"/>
                </w:rPr>
                <m:t>0,</m:t>
              </m:r>
              <m:sSub>
                <m:sSubPr>
                  <m:ctrlPr>
                    <w:rPr>
                      <w:rFonts w:ascii="Cambria Math" w:hAnsi="Cambria Math"/>
                      <w:i/>
                      <w:color w:val="000000" w:themeColor="text1"/>
                      <w:sz w:val="20"/>
                      <w:szCs w:val="20"/>
                      <w:lang w:val="en-US"/>
                    </w:rPr>
                  </m:ctrlPr>
                </m:sSubPr>
                <m:e>
                  <m:r>
                    <w:rPr>
                      <w:rFonts w:ascii="Cambria Math" w:hAnsi="Cambria Math"/>
                      <w:color w:val="000000" w:themeColor="text1"/>
                      <w:sz w:val="20"/>
                      <w:szCs w:val="20"/>
                      <w:lang w:val="en-US"/>
                    </w:rPr>
                    <m:t>P</m:t>
                  </m:r>
                </m:e>
                <m:sub>
                  <m:r>
                    <w:rPr>
                      <w:rFonts w:ascii="Cambria Math" w:hAnsi="Cambria Math"/>
                      <w:color w:val="000000" w:themeColor="text1"/>
                      <w:sz w:val="20"/>
                      <w:szCs w:val="20"/>
                      <w:lang w:val="en-US"/>
                    </w:rPr>
                    <m:t>i,t</m:t>
                  </m:r>
                </m:sub>
              </m:sSub>
              <m:r>
                <w:rPr>
                  <w:rFonts w:ascii="Cambria Math" w:hAnsi="Cambria Math"/>
                  <w:color w:val="000000" w:themeColor="text1"/>
                  <w:sz w:val="20"/>
                  <w:szCs w:val="20"/>
                  <w:lang w:val="en-US"/>
                </w:rPr>
                <m:t>-</m:t>
              </m:r>
              <m:sSub>
                <m:sSubPr>
                  <m:ctrlPr>
                    <w:rPr>
                      <w:rFonts w:ascii="Cambria Math" w:hAnsi="Cambria Math"/>
                      <w:i/>
                      <w:color w:val="000000" w:themeColor="text1"/>
                      <w:sz w:val="20"/>
                      <w:szCs w:val="20"/>
                      <w:lang w:val="en-US"/>
                    </w:rPr>
                  </m:ctrlPr>
                </m:sSubPr>
                <m:e>
                  <m:r>
                    <w:rPr>
                      <w:rFonts w:ascii="Cambria Math" w:hAnsi="Cambria Math"/>
                      <w:color w:val="000000" w:themeColor="text1"/>
                      <w:sz w:val="20"/>
                      <w:szCs w:val="20"/>
                      <w:lang w:val="en-US"/>
                    </w:rPr>
                    <m:t>H</m:t>
                  </m:r>
                </m:e>
                <m:sub>
                  <m:r>
                    <w:rPr>
                      <w:rFonts w:ascii="Cambria Math" w:hAnsi="Cambria Math"/>
                      <w:color w:val="000000" w:themeColor="text1"/>
                      <w:sz w:val="20"/>
                      <w:szCs w:val="20"/>
                      <w:lang w:val="en-US"/>
                    </w:rPr>
                    <m:t>j,t</m:t>
                  </m:r>
                </m:sub>
              </m:sSub>
            </m:e>
          </m:d>
        </m:oMath>
      </m:oMathPara>
    </w:p>
    <w:p w14:paraId="078B5739"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 xml:space="preserve">If  </w:t>
      </w:r>
      <m:oMath>
        <m:sSub>
          <m:sSubPr>
            <m:ctrlPr>
              <w:rPr>
                <w:rFonts w:ascii="Cambria Math" w:hAnsi="Cambria Math"/>
                <w:i/>
                <w:color w:val="000000" w:themeColor="text1"/>
                <w:sz w:val="20"/>
                <w:szCs w:val="20"/>
                <w:lang w:val="en-US"/>
              </w:rPr>
            </m:ctrlPr>
          </m:sSubPr>
          <m:e>
            <m:r>
              <w:rPr>
                <w:rFonts w:ascii="Cambria Math" w:hAnsi="Cambria Math"/>
                <w:color w:val="000000" w:themeColor="text1"/>
                <w:sz w:val="20"/>
                <w:szCs w:val="20"/>
                <w:lang w:val="en-US"/>
              </w:rPr>
              <m:t>H</m:t>
            </m:r>
          </m:e>
          <m:sub>
            <m:r>
              <w:rPr>
                <w:rFonts w:ascii="Cambria Math" w:hAnsi="Cambria Math"/>
                <w:color w:val="000000" w:themeColor="text1"/>
                <w:sz w:val="20"/>
                <w:szCs w:val="20"/>
                <w:lang w:val="en-US"/>
              </w:rPr>
              <m:t>j,t</m:t>
            </m:r>
          </m:sub>
        </m:sSub>
        <m:r>
          <w:rPr>
            <w:rFonts w:ascii="Cambria Math" w:hAnsi="Cambria Math"/>
            <w:color w:val="000000" w:themeColor="text1"/>
            <w:sz w:val="20"/>
            <w:szCs w:val="20"/>
            <w:lang w:val="en-US"/>
          </w:rPr>
          <m:t>&lt;</m:t>
        </m:r>
        <m:sSub>
          <m:sSubPr>
            <m:ctrlPr>
              <w:rPr>
                <w:rFonts w:ascii="Cambria Math" w:hAnsi="Cambria Math"/>
                <w:i/>
                <w:color w:val="000000" w:themeColor="text1"/>
                <w:sz w:val="20"/>
                <w:szCs w:val="20"/>
                <w:lang w:val="en-US"/>
              </w:rPr>
            </m:ctrlPr>
          </m:sSubPr>
          <m:e>
            <m:r>
              <w:rPr>
                <w:rFonts w:ascii="Cambria Math" w:hAnsi="Cambria Math"/>
                <w:color w:val="000000" w:themeColor="text1"/>
                <w:sz w:val="20"/>
                <w:szCs w:val="20"/>
                <w:lang w:val="en-US"/>
              </w:rPr>
              <m:t>P</m:t>
            </m:r>
          </m:e>
          <m:sub>
            <m:r>
              <w:rPr>
                <w:rFonts w:ascii="Cambria Math" w:hAnsi="Cambria Math"/>
                <w:color w:val="000000" w:themeColor="text1"/>
                <w:sz w:val="20"/>
                <w:szCs w:val="20"/>
                <w:lang w:val="en-US"/>
              </w:rPr>
              <m:t>i,t</m:t>
            </m:r>
          </m:sub>
        </m:sSub>
      </m:oMath>
      <w:r w:rsidRPr="008813F9">
        <w:rPr>
          <w:rFonts w:ascii="Times New Roman" w:hAnsi="Times New Roman"/>
          <w:color w:val="000000" w:themeColor="text1"/>
          <w:sz w:val="20"/>
          <w:szCs w:val="20"/>
          <w:lang w:val="en-US"/>
        </w:rPr>
        <w:t>, the site was marked constrained. Otherwise, its demand was subtracted from the available headroom.</w:t>
      </w:r>
    </w:p>
    <w:p w14:paraId="079DC807"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This process allows identification of:</w:t>
      </w:r>
    </w:p>
    <w:p w14:paraId="4B0F6F5D" w14:textId="3FC7B213" w:rsidR="008813F9" w:rsidRPr="009C0665" w:rsidRDefault="008813F9">
      <w:pPr>
        <w:numPr>
          <w:ilvl w:val="0"/>
          <w:numId w:val="8"/>
        </w:numPr>
        <w:spacing w:after="0" w:line="240" w:lineRule="auto"/>
        <w:jc w:val="both"/>
        <w:rPr>
          <w:rFonts w:ascii="Times New Roman" w:hAnsi="Times New Roman"/>
          <w:color w:val="000000" w:themeColor="text1"/>
          <w:sz w:val="20"/>
          <w:szCs w:val="20"/>
          <w:lang w:val="en-US"/>
        </w:rPr>
      </w:pPr>
      <w:r w:rsidRPr="009C0665">
        <w:rPr>
          <w:rFonts w:ascii="Times New Roman" w:hAnsi="Times New Roman"/>
          <w:color w:val="000000" w:themeColor="text1"/>
          <w:sz w:val="20"/>
          <w:szCs w:val="20"/>
          <w:lang w:val="en-US"/>
        </w:rPr>
        <w:t>% of constrained sites per province</w:t>
      </w:r>
      <w:r w:rsidR="009C0665" w:rsidRPr="009C0665">
        <w:rPr>
          <w:rFonts w:ascii="Times New Roman" w:hAnsi="Times New Roman"/>
          <w:color w:val="000000" w:themeColor="text1"/>
          <w:sz w:val="20"/>
          <w:szCs w:val="20"/>
          <w:lang w:val="en-US"/>
        </w:rPr>
        <w:t>,</w:t>
      </w:r>
    </w:p>
    <w:p w14:paraId="2A300CD1" w14:textId="6B0767D4" w:rsidR="008813F9" w:rsidRPr="009C0665" w:rsidRDefault="008813F9">
      <w:pPr>
        <w:numPr>
          <w:ilvl w:val="0"/>
          <w:numId w:val="8"/>
        </w:numPr>
        <w:spacing w:after="0" w:line="240" w:lineRule="auto"/>
        <w:jc w:val="both"/>
        <w:rPr>
          <w:rFonts w:ascii="Times New Roman" w:hAnsi="Times New Roman"/>
          <w:color w:val="000000" w:themeColor="text1"/>
          <w:sz w:val="20"/>
          <w:szCs w:val="20"/>
          <w:lang w:val="en-US"/>
        </w:rPr>
      </w:pPr>
      <w:r w:rsidRPr="009C0665">
        <w:rPr>
          <w:rFonts w:ascii="Times New Roman" w:hAnsi="Times New Roman"/>
          <w:color w:val="000000" w:themeColor="text1"/>
          <w:sz w:val="20"/>
          <w:szCs w:val="20"/>
          <w:lang w:val="en-US"/>
        </w:rPr>
        <w:t>MW of additional grid investment needed</w:t>
      </w:r>
      <w:r w:rsidR="009C0665">
        <w:rPr>
          <w:rFonts w:ascii="Times New Roman" w:hAnsi="Times New Roman"/>
          <w:color w:val="000000" w:themeColor="text1"/>
          <w:sz w:val="20"/>
          <w:szCs w:val="20"/>
          <w:lang w:val="en-US"/>
        </w:rPr>
        <w:t>,</w:t>
      </w:r>
    </w:p>
    <w:p w14:paraId="10687316" w14:textId="6E84990F" w:rsidR="008813F9" w:rsidRPr="009C0665" w:rsidRDefault="009C0665">
      <w:pPr>
        <w:numPr>
          <w:ilvl w:val="0"/>
          <w:numId w:val="8"/>
        </w:numPr>
        <w:spacing w:after="0" w:line="240" w:lineRule="auto"/>
        <w:jc w:val="both"/>
        <w:rPr>
          <w:rFonts w:ascii="Times New Roman" w:hAnsi="Times New Roman"/>
          <w:color w:val="000000" w:themeColor="text1"/>
          <w:sz w:val="20"/>
          <w:szCs w:val="20"/>
          <w:lang w:val="en-US"/>
        </w:rPr>
      </w:pPr>
      <w:r>
        <w:rPr>
          <w:rFonts w:ascii="Times New Roman" w:hAnsi="Times New Roman"/>
          <w:color w:val="000000" w:themeColor="text1"/>
          <w:sz w:val="20"/>
          <w:szCs w:val="20"/>
          <w:lang w:val="en-US"/>
        </w:rPr>
        <w:t>s</w:t>
      </w:r>
      <w:r w:rsidR="008813F9" w:rsidRPr="009C0665">
        <w:rPr>
          <w:rFonts w:ascii="Times New Roman" w:hAnsi="Times New Roman"/>
          <w:color w:val="000000" w:themeColor="text1"/>
          <w:sz w:val="20"/>
          <w:szCs w:val="20"/>
          <w:lang w:val="en-US"/>
        </w:rPr>
        <w:t>ectors most exposed to infrastructure limitations</w:t>
      </w:r>
      <w:r>
        <w:rPr>
          <w:rFonts w:ascii="Times New Roman" w:hAnsi="Times New Roman"/>
          <w:color w:val="000000" w:themeColor="text1"/>
          <w:sz w:val="20"/>
          <w:szCs w:val="20"/>
          <w:lang w:val="en-US"/>
        </w:rPr>
        <w:t>.</w:t>
      </w:r>
    </w:p>
    <w:p w14:paraId="1213DF92"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p>
    <w:p w14:paraId="1F74AFF2" w14:textId="65BB4C36" w:rsidR="008813F9" w:rsidRPr="009C0665" w:rsidRDefault="008813F9">
      <w:pPr>
        <w:pStyle w:val="Akapitzlist"/>
        <w:numPr>
          <w:ilvl w:val="0"/>
          <w:numId w:val="15"/>
        </w:numPr>
        <w:spacing w:after="0" w:line="240" w:lineRule="auto"/>
        <w:jc w:val="both"/>
        <w:rPr>
          <w:rFonts w:ascii="Times New Roman" w:hAnsi="Times New Roman"/>
          <w:b/>
          <w:bCs/>
          <w:color w:val="000000" w:themeColor="text1"/>
          <w:sz w:val="20"/>
          <w:szCs w:val="20"/>
          <w:lang w:val="en-US"/>
        </w:rPr>
      </w:pPr>
      <w:r w:rsidRPr="009C0665">
        <w:rPr>
          <w:rFonts w:ascii="Times New Roman" w:hAnsi="Times New Roman"/>
          <w:b/>
          <w:bCs/>
          <w:color w:val="000000" w:themeColor="text1"/>
          <w:sz w:val="20"/>
          <w:szCs w:val="20"/>
          <w:lang w:val="en-US"/>
        </w:rPr>
        <w:t>Results</w:t>
      </w:r>
    </w:p>
    <w:p w14:paraId="55883738" w14:textId="77777777" w:rsidR="009C0665" w:rsidRPr="009C0665" w:rsidRDefault="009C0665" w:rsidP="009C0665">
      <w:pPr>
        <w:pStyle w:val="Akapitzlist"/>
        <w:spacing w:after="0" w:line="240" w:lineRule="auto"/>
        <w:ind w:left="360"/>
        <w:jc w:val="both"/>
        <w:rPr>
          <w:rFonts w:ascii="Times New Roman" w:hAnsi="Times New Roman"/>
          <w:b/>
          <w:bCs/>
          <w:color w:val="000000" w:themeColor="text1"/>
          <w:sz w:val="20"/>
          <w:szCs w:val="20"/>
          <w:lang w:val="en-US"/>
        </w:rPr>
      </w:pPr>
    </w:p>
    <w:p w14:paraId="5A8E8A77" w14:textId="41539D56" w:rsidR="008813F9" w:rsidRPr="009C0665" w:rsidRDefault="009C0665" w:rsidP="008813F9">
      <w:pPr>
        <w:spacing w:after="0" w:line="240" w:lineRule="auto"/>
        <w:jc w:val="both"/>
        <w:rPr>
          <w:rFonts w:ascii="Times New Roman" w:hAnsi="Times New Roman"/>
          <w:i/>
          <w:iCs/>
          <w:color w:val="000000" w:themeColor="text1"/>
          <w:sz w:val="20"/>
          <w:szCs w:val="20"/>
          <w:lang w:val="en-US"/>
        </w:rPr>
      </w:pPr>
      <w:r w:rsidRPr="009C0665">
        <w:rPr>
          <w:rFonts w:ascii="Times New Roman" w:hAnsi="Times New Roman"/>
          <w:i/>
          <w:iCs/>
          <w:color w:val="000000" w:themeColor="text1"/>
          <w:sz w:val="20"/>
          <w:szCs w:val="20"/>
          <w:lang w:val="en-US"/>
        </w:rPr>
        <w:t>5</w:t>
      </w:r>
      <w:r w:rsidR="008813F9" w:rsidRPr="009C0665">
        <w:rPr>
          <w:rFonts w:ascii="Times New Roman" w:hAnsi="Times New Roman"/>
          <w:i/>
          <w:iCs/>
          <w:color w:val="000000" w:themeColor="text1"/>
          <w:sz w:val="20"/>
          <w:szCs w:val="20"/>
          <w:lang w:val="en-US"/>
        </w:rPr>
        <w:t>.1. Electric capacity needs for all industrial sites and implications for network headroom</w:t>
      </w:r>
    </w:p>
    <w:p w14:paraId="2962CFDF"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 xml:space="preserve">Under the Balanced Decarbonization scenario, China’s total additional electricity capacity required to support full industrial decarbonization by 2050 is estimated at 670 GW, increasing to 850 GW under the Max Electrification scenario. These values include both distributed (small-medium enterprises) and point-source industrial clusters. </w:t>
      </w:r>
    </w:p>
    <w:p w14:paraId="4ECD7348" w14:textId="48C8FFAE" w:rsid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When compared to projected grid headroom capacity, a significant regional mismatch emerges</w:t>
      </w:r>
      <w:r w:rsidR="009C0665">
        <w:rPr>
          <w:rFonts w:ascii="Times New Roman" w:hAnsi="Times New Roman"/>
          <w:color w:val="000000" w:themeColor="text1"/>
          <w:sz w:val="20"/>
          <w:szCs w:val="20"/>
          <w:lang w:val="en-US"/>
        </w:rPr>
        <w:t xml:space="preserve"> – </w:t>
      </w:r>
      <w:r w:rsidRPr="008813F9">
        <w:rPr>
          <w:rFonts w:ascii="Times New Roman" w:hAnsi="Times New Roman"/>
          <w:color w:val="000000" w:themeColor="text1"/>
          <w:sz w:val="20"/>
          <w:szCs w:val="20"/>
          <w:lang w:val="en-US"/>
        </w:rPr>
        <w:t>particularly in inland provinces such as Henan, Shanxi, and Sichuan. By 2050, over 40% of China’s provincial electricity systems will require substantial reinforcement to meet anticipated industrial electrification demands (see Figure 3 for regional constraint projections).</w:t>
      </w:r>
    </w:p>
    <w:p w14:paraId="04296748" w14:textId="77777777" w:rsidR="009C0665" w:rsidRDefault="009C0665" w:rsidP="008813F9">
      <w:pPr>
        <w:spacing w:after="0" w:line="240" w:lineRule="auto"/>
        <w:jc w:val="both"/>
        <w:rPr>
          <w:rFonts w:ascii="Times New Roman" w:hAnsi="Times New Roman"/>
          <w:color w:val="000000" w:themeColor="text1"/>
          <w:sz w:val="20"/>
          <w:szCs w:val="20"/>
          <w:lang w:val="en-US"/>
        </w:rPr>
      </w:pPr>
    </w:p>
    <w:p w14:paraId="3ACC5FC2" w14:textId="77777777" w:rsidR="008813F9" w:rsidRPr="008813F9" w:rsidRDefault="008813F9" w:rsidP="009C0665">
      <w:pPr>
        <w:pStyle w:val="NormalnyWeb"/>
        <w:spacing w:before="0" w:beforeAutospacing="0" w:after="0" w:afterAutospacing="0"/>
        <w:jc w:val="center"/>
        <w:rPr>
          <w:rFonts w:ascii="Times New Roman" w:hAnsi="Times New Roman" w:cs="Times New Roman"/>
          <w:color w:val="000000" w:themeColor="text1"/>
          <w:sz w:val="20"/>
          <w:szCs w:val="20"/>
        </w:rPr>
      </w:pPr>
      <w:r w:rsidRPr="008813F9">
        <w:rPr>
          <w:rFonts w:ascii="Times New Roman" w:hAnsi="Times New Roman" w:cs="Times New Roman"/>
          <w:noProof/>
          <w:color w:val="000000" w:themeColor="text1"/>
          <w:sz w:val="20"/>
          <w:szCs w:val="20"/>
        </w:rPr>
        <w:lastRenderedPageBreak/>
        <w:drawing>
          <wp:inline distT="0" distB="0" distL="0" distR="0" wp14:anchorId="5D1261F6" wp14:editId="1EDE8FB6">
            <wp:extent cx="5114925" cy="2905125"/>
            <wp:effectExtent l="0" t="0" r="9525" b="9525"/>
            <wp:docPr id="17" name="Image 17" descr="BAr chart showing estimated electric capacity constraint levels by 2050 in different regions of Ch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descr="BAr chart showing estimated electric capacity constraint levels by 2050 in different regions of China"/>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5280"/>
                    <a:stretch>
                      <a:fillRect/>
                    </a:stretch>
                  </pic:blipFill>
                  <pic:spPr bwMode="auto">
                    <a:xfrm>
                      <a:off x="0" y="0"/>
                      <a:ext cx="5114925" cy="2905125"/>
                    </a:xfrm>
                    <a:prstGeom prst="rect">
                      <a:avLst/>
                    </a:prstGeom>
                    <a:noFill/>
                    <a:ln>
                      <a:noFill/>
                    </a:ln>
                    <a:extLst>
                      <a:ext uri="{53640926-AAD7-44D8-BBD7-CCE9431645EC}">
                        <a14:shadowObscured xmlns:a14="http://schemas.microsoft.com/office/drawing/2010/main"/>
                      </a:ext>
                    </a:extLst>
                  </pic:spPr>
                </pic:pic>
              </a:graphicData>
            </a:graphic>
          </wp:inline>
        </w:drawing>
      </w:r>
    </w:p>
    <w:p w14:paraId="30D6437D" w14:textId="77777777" w:rsidR="003C0960" w:rsidRPr="009C0665" w:rsidRDefault="003C0960" w:rsidP="003C0960">
      <w:pPr>
        <w:spacing w:after="0" w:line="240" w:lineRule="auto"/>
        <w:jc w:val="both"/>
        <w:rPr>
          <w:rFonts w:ascii="Times New Roman" w:hAnsi="Times New Roman"/>
          <w:color w:val="000000" w:themeColor="text1"/>
          <w:sz w:val="18"/>
          <w:szCs w:val="18"/>
          <w:lang w:val="en-US"/>
        </w:rPr>
      </w:pPr>
      <w:r w:rsidRPr="009C0665">
        <w:rPr>
          <w:rFonts w:ascii="Times New Roman" w:hAnsi="Times New Roman"/>
          <w:color w:val="000000" w:themeColor="text1"/>
          <w:sz w:val="18"/>
          <w:szCs w:val="18"/>
          <w:lang w:val="en-US"/>
        </w:rPr>
        <w:t>Figure 3. Estimated electric capacity constraint levels by 2050, source: own elaboration</w:t>
      </w:r>
    </w:p>
    <w:p w14:paraId="4935D26C" w14:textId="77777777" w:rsidR="003C0960" w:rsidRDefault="003C0960" w:rsidP="008813F9">
      <w:pPr>
        <w:spacing w:after="0" w:line="240" w:lineRule="auto"/>
        <w:jc w:val="both"/>
        <w:rPr>
          <w:rFonts w:ascii="Times New Roman" w:hAnsi="Times New Roman"/>
          <w:color w:val="000000" w:themeColor="text1"/>
          <w:sz w:val="20"/>
          <w:szCs w:val="20"/>
          <w:lang w:val="en-US"/>
        </w:rPr>
      </w:pPr>
    </w:p>
    <w:p w14:paraId="4D825DB5" w14:textId="3C8B5B2E"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This figure illustrates the spatial distribution of projected electric capacity shortfalls across China's regions by 2050:</w:t>
      </w:r>
    </w:p>
    <w:p w14:paraId="1D51C67E" w14:textId="77777777" w:rsidR="008813F9" w:rsidRPr="009C0665" w:rsidRDefault="008813F9">
      <w:pPr>
        <w:numPr>
          <w:ilvl w:val="0"/>
          <w:numId w:val="16"/>
        </w:numPr>
        <w:spacing w:after="0" w:line="240" w:lineRule="auto"/>
        <w:jc w:val="both"/>
        <w:rPr>
          <w:rFonts w:ascii="Times New Roman" w:hAnsi="Times New Roman"/>
          <w:color w:val="000000" w:themeColor="text1"/>
          <w:sz w:val="20"/>
          <w:szCs w:val="20"/>
          <w:lang w:val="en-US"/>
        </w:rPr>
      </w:pPr>
      <w:r w:rsidRPr="009C0665">
        <w:rPr>
          <w:rFonts w:ascii="Times New Roman" w:hAnsi="Times New Roman"/>
          <w:b/>
          <w:bCs/>
          <w:color w:val="000000" w:themeColor="text1"/>
          <w:sz w:val="20"/>
          <w:szCs w:val="20"/>
          <w:lang w:val="en-US"/>
        </w:rPr>
        <w:t>Western China</w:t>
      </w:r>
      <w:r w:rsidRPr="009C0665">
        <w:rPr>
          <w:rFonts w:ascii="Times New Roman" w:hAnsi="Times New Roman"/>
          <w:color w:val="000000" w:themeColor="text1"/>
          <w:sz w:val="20"/>
          <w:szCs w:val="20"/>
          <w:lang w:val="en-US"/>
        </w:rPr>
        <w:t xml:space="preserve"> leads with </w:t>
      </w:r>
      <w:r w:rsidRPr="009C0665">
        <w:rPr>
          <w:rFonts w:ascii="Times New Roman" w:hAnsi="Times New Roman"/>
          <w:b/>
          <w:bCs/>
          <w:color w:val="000000" w:themeColor="text1"/>
          <w:sz w:val="20"/>
          <w:szCs w:val="20"/>
          <w:lang w:val="en-US"/>
        </w:rPr>
        <w:t>110 GW</w:t>
      </w:r>
      <w:r w:rsidRPr="009C0665">
        <w:rPr>
          <w:rFonts w:ascii="Times New Roman" w:hAnsi="Times New Roman"/>
          <w:color w:val="000000" w:themeColor="text1"/>
          <w:sz w:val="20"/>
          <w:szCs w:val="20"/>
          <w:lang w:val="en-US"/>
        </w:rPr>
        <w:t xml:space="preserve"> of constraints, reflecting underdeveloped grid infrastructure in industrial-intensive provinces like </w:t>
      </w:r>
      <w:r w:rsidRPr="009C0665">
        <w:rPr>
          <w:rFonts w:ascii="Times New Roman" w:hAnsi="Times New Roman"/>
          <w:b/>
          <w:bCs/>
          <w:color w:val="000000" w:themeColor="text1"/>
          <w:sz w:val="20"/>
          <w:szCs w:val="20"/>
          <w:lang w:val="en-US"/>
        </w:rPr>
        <w:t>Inner Mongolia</w:t>
      </w:r>
      <w:r w:rsidRPr="009C0665">
        <w:rPr>
          <w:rFonts w:ascii="Times New Roman" w:hAnsi="Times New Roman"/>
          <w:color w:val="000000" w:themeColor="text1"/>
          <w:sz w:val="20"/>
          <w:szCs w:val="20"/>
          <w:lang w:val="en-US"/>
        </w:rPr>
        <w:t xml:space="preserve"> and </w:t>
      </w:r>
      <w:r w:rsidRPr="009C0665">
        <w:rPr>
          <w:rFonts w:ascii="Times New Roman" w:hAnsi="Times New Roman"/>
          <w:b/>
          <w:bCs/>
          <w:color w:val="000000" w:themeColor="text1"/>
          <w:sz w:val="20"/>
          <w:szCs w:val="20"/>
          <w:lang w:val="en-US"/>
        </w:rPr>
        <w:t>Gansu</w:t>
      </w:r>
      <w:r w:rsidRPr="009C0665">
        <w:rPr>
          <w:rFonts w:ascii="Times New Roman" w:hAnsi="Times New Roman"/>
          <w:color w:val="000000" w:themeColor="text1"/>
          <w:sz w:val="20"/>
          <w:szCs w:val="20"/>
          <w:lang w:val="en-US"/>
        </w:rPr>
        <w:t>.</w:t>
      </w:r>
    </w:p>
    <w:p w14:paraId="65388C2A" w14:textId="77777777" w:rsidR="008813F9" w:rsidRPr="009C0665" w:rsidRDefault="008813F9">
      <w:pPr>
        <w:numPr>
          <w:ilvl w:val="0"/>
          <w:numId w:val="16"/>
        </w:numPr>
        <w:spacing w:after="0" w:line="240" w:lineRule="auto"/>
        <w:jc w:val="both"/>
        <w:rPr>
          <w:rFonts w:ascii="Times New Roman" w:hAnsi="Times New Roman"/>
          <w:color w:val="000000" w:themeColor="text1"/>
          <w:sz w:val="20"/>
          <w:szCs w:val="20"/>
          <w:lang w:val="en-US"/>
        </w:rPr>
      </w:pPr>
      <w:r w:rsidRPr="009C0665">
        <w:rPr>
          <w:rFonts w:ascii="Times New Roman" w:hAnsi="Times New Roman"/>
          <w:b/>
          <w:bCs/>
          <w:color w:val="000000" w:themeColor="text1"/>
          <w:sz w:val="20"/>
          <w:szCs w:val="20"/>
          <w:lang w:val="en-US"/>
        </w:rPr>
        <w:t>Central China</w:t>
      </w:r>
      <w:r w:rsidRPr="009C0665">
        <w:rPr>
          <w:rFonts w:ascii="Times New Roman" w:hAnsi="Times New Roman"/>
          <w:color w:val="000000" w:themeColor="text1"/>
          <w:sz w:val="20"/>
          <w:szCs w:val="20"/>
          <w:lang w:val="en-US"/>
        </w:rPr>
        <w:t xml:space="preserve"> follows with </w:t>
      </w:r>
      <w:r w:rsidRPr="009C0665">
        <w:rPr>
          <w:rFonts w:ascii="Times New Roman" w:hAnsi="Times New Roman"/>
          <w:b/>
          <w:bCs/>
          <w:color w:val="000000" w:themeColor="text1"/>
          <w:sz w:val="20"/>
          <w:szCs w:val="20"/>
          <w:lang w:val="en-US"/>
        </w:rPr>
        <w:t>90 GW</w:t>
      </w:r>
      <w:r w:rsidRPr="009C0665">
        <w:rPr>
          <w:rFonts w:ascii="Times New Roman" w:hAnsi="Times New Roman"/>
          <w:color w:val="000000" w:themeColor="text1"/>
          <w:sz w:val="20"/>
          <w:szCs w:val="20"/>
          <w:lang w:val="en-US"/>
        </w:rPr>
        <w:t xml:space="preserve">, driven by increased electrification in sectors such as </w:t>
      </w:r>
      <w:r w:rsidRPr="009C0665">
        <w:rPr>
          <w:rFonts w:ascii="Times New Roman" w:hAnsi="Times New Roman"/>
          <w:b/>
          <w:bCs/>
          <w:color w:val="000000" w:themeColor="text1"/>
          <w:sz w:val="20"/>
          <w:szCs w:val="20"/>
          <w:lang w:val="en-US"/>
        </w:rPr>
        <w:t>steel</w:t>
      </w:r>
      <w:r w:rsidRPr="009C0665">
        <w:rPr>
          <w:rFonts w:ascii="Times New Roman" w:hAnsi="Times New Roman"/>
          <w:color w:val="000000" w:themeColor="text1"/>
          <w:sz w:val="20"/>
          <w:szCs w:val="20"/>
          <w:lang w:val="en-US"/>
        </w:rPr>
        <w:t xml:space="preserve">, </w:t>
      </w:r>
      <w:r w:rsidRPr="009C0665">
        <w:rPr>
          <w:rFonts w:ascii="Times New Roman" w:hAnsi="Times New Roman"/>
          <w:b/>
          <w:bCs/>
          <w:color w:val="000000" w:themeColor="text1"/>
          <w:sz w:val="20"/>
          <w:szCs w:val="20"/>
          <w:lang w:val="en-US"/>
        </w:rPr>
        <w:t>cement</w:t>
      </w:r>
      <w:r w:rsidRPr="009C0665">
        <w:rPr>
          <w:rFonts w:ascii="Times New Roman" w:hAnsi="Times New Roman"/>
          <w:color w:val="000000" w:themeColor="text1"/>
          <w:sz w:val="20"/>
          <w:szCs w:val="20"/>
          <w:lang w:val="en-US"/>
        </w:rPr>
        <w:t xml:space="preserve">, and </w:t>
      </w:r>
      <w:r w:rsidRPr="009C0665">
        <w:rPr>
          <w:rFonts w:ascii="Times New Roman" w:hAnsi="Times New Roman"/>
          <w:b/>
          <w:bCs/>
          <w:color w:val="000000" w:themeColor="text1"/>
          <w:sz w:val="20"/>
          <w:szCs w:val="20"/>
          <w:lang w:val="en-US"/>
        </w:rPr>
        <w:t>chemicals</w:t>
      </w:r>
      <w:r w:rsidRPr="009C0665">
        <w:rPr>
          <w:rFonts w:ascii="Times New Roman" w:hAnsi="Times New Roman"/>
          <w:color w:val="000000" w:themeColor="text1"/>
          <w:sz w:val="20"/>
          <w:szCs w:val="20"/>
          <w:lang w:val="en-US"/>
        </w:rPr>
        <w:t>.</w:t>
      </w:r>
    </w:p>
    <w:p w14:paraId="45661088" w14:textId="77777777" w:rsidR="008813F9" w:rsidRPr="009C0665" w:rsidRDefault="008813F9">
      <w:pPr>
        <w:numPr>
          <w:ilvl w:val="0"/>
          <w:numId w:val="16"/>
        </w:numPr>
        <w:spacing w:after="0" w:line="240" w:lineRule="auto"/>
        <w:jc w:val="both"/>
        <w:rPr>
          <w:rFonts w:ascii="Times New Roman" w:hAnsi="Times New Roman"/>
          <w:color w:val="000000" w:themeColor="text1"/>
          <w:sz w:val="20"/>
          <w:szCs w:val="20"/>
          <w:lang w:val="en-US"/>
        </w:rPr>
      </w:pPr>
      <w:r w:rsidRPr="009C0665">
        <w:rPr>
          <w:rFonts w:ascii="Times New Roman" w:hAnsi="Times New Roman"/>
          <w:b/>
          <w:bCs/>
          <w:color w:val="000000" w:themeColor="text1"/>
          <w:sz w:val="20"/>
          <w:szCs w:val="20"/>
          <w:lang w:val="en-US"/>
        </w:rPr>
        <w:t>Eastern China</w:t>
      </w:r>
      <w:r w:rsidRPr="009C0665">
        <w:rPr>
          <w:rFonts w:ascii="Times New Roman" w:hAnsi="Times New Roman"/>
          <w:color w:val="000000" w:themeColor="text1"/>
          <w:sz w:val="20"/>
          <w:szCs w:val="20"/>
          <w:lang w:val="en-US"/>
        </w:rPr>
        <w:t xml:space="preserve">, though better prepared, still records </w:t>
      </w:r>
      <w:r w:rsidRPr="009C0665">
        <w:rPr>
          <w:rFonts w:ascii="Times New Roman" w:hAnsi="Times New Roman"/>
          <w:b/>
          <w:bCs/>
          <w:color w:val="000000" w:themeColor="text1"/>
          <w:sz w:val="20"/>
          <w:szCs w:val="20"/>
          <w:lang w:val="en-US"/>
        </w:rPr>
        <w:t>65 GW</w:t>
      </w:r>
      <w:r w:rsidRPr="009C0665">
        <w:rPr>
          <w:rFonts w:ascii="Times New Roman" w:hAnsi="Times New Roman"/>
          <w:color w:val="000000" w:themeColor="text1"/>
          <w:sz w:val="20"/>
          <w:szCs w:val="20"/>
          <w:lang w:val="en-US"/>
        </w:rPr>
        <w:t xml:space="preserve"> of constraints due to the sheer concentration of industrial clusters.</w:t>
      </w:r>
    </w:p>
    <w:p w14:paraId="7795131C" w14:textId="77777777" w:rsidR="008813F9" w:rsidRPr="009C0665" w:rsidRDefault="008813F9">
      <w:pPr>
        <w:numPr>
          <w:ilvl w:val="0"/>
          <w:numId w:val="16"/>
        </w:numPr>
        <w:spacing w:after="0" w:line="240" w:lineRule="auto"/>
        <w:jc w:val="both"/>
        <w:rPr>
          <w:rFonts w:ascii="Times New Roman" w:hAnsi="Times New Roman"/>
          <w:color w:val="000000" w:themeColor="text1"/>
          <w:sz w:val="20"/>
          <w:szCs w:val="20"/>
          <w:lang w:val="en-US"/>
        </w:rPr>
      </w:pPr>
      <w:r w:rsidRPr="009C0665">
        <w:rPr>
          <w:rFonts w:ascii="Times New Roman" w:hAnsi="Times New Roman"/>
          <w:b/>
          <w:bCs/>
          <w:color w:val="000000" w:themeColor="text1"/>
          <w:sz w:val="20"/>
          <w:szCs w:val="20"/>
          <w:lang w:val="en-US"/>
        </w:rPr>
        <w:t>Northeast China</w:t>
      </w:r>
      <w:r w:rsidRPr="009C0665">
        <w:rPr>
          <w:rFonts w:ascii="Times New Roman" w:hAnsi="Times New Roman"/>
          <w:color w:val="000000" w:themeColor="text1"/>
          <w:sz w:val="20"/>
          <w:szCs w:val="20"/>
          <w:lang w:val="en-US"/>
        </w:rPr>
        <w:t xml:space="preserve"> experiences the lowest constraint levels (</w:t>
      </w:r>
      <w:r w:rsidRPr="009C0665">
        <w:rPr>
          <w:rFonts w:ascii="Times New Roman" w:hAnsi="Times New Roman"/>
          <w:b/>
          <w:bCs/>
          <w:color w:val="000000" w:themeColor="text1"/>
          <w:sz w:val="20"/>
          <w:szCs w:val="20"/>
          <w:lang w:val="en-US"/>
        </w:rPr>
        <w:t>45 GW</w:t>
      </w:r>
      <w:r w:rsidRPr="009C0665">
        <w:rPr>
          <w:rFonts w:ascii="Times New Roman" w:hAnsi="Times New Roman"/>
          <w:color w:val="000000" w:themeColor="text1"/>
          <w:sz w:val="20"/>
          <w:szCs w:val="20"/>
          <w:lang w:val="en-US"/>
        </w:rPr>
        <w:t>), benefiting from grid modernization and reduced industrial activity.</w:t>
      </w:r>
    </w:p>
    <w:p w14:paraId="2D0B13FB"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These patterns emphasize the need for targeted grid investments, particularly in Central and Western China, to enable decarbonization across all industrial zones.</w:t>
      </w:r>
    </w:p>
    <w:p w14:paraId="1D0A52F0"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Headroom adequacy is highest in coastal provinces such as Guangdong and Jiangsu, supported by ongoing grid upgrades and smart substation deployment. In contrast, while some western provinces possess underutilized infrastructure, they lack industrial demand density, limiting grid efficiency. This regional imbalance underscores the importance of spatially optimized infrastructure planning to align electricity supply with decarbonization trajectories.</w:t>
      </w:r>
    </w:p>
    <w:p w14:paraId="301C70FE" w14:textId="711A0215" w:rsid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Additionally, regional grid constraints pose a direct emissions risk. As shown in Figure 4, delayed electrification due to network bottlenecks results in substantial residual emissions</w:t>
      </w:r>
      <w:r w:rsidR="009C0665">
        <w:rPr>
          <w:rFonts w:ascii="Times New Roman" w:hAnsi="Times New Roman"/>
          <w:color w:val="000000" w:themeColor="text1"/>
          <w:sz w:val="20"/>
          <w:szCs w:val="20"/>
          <w:lang w:val="en-US"/>
        </w:rPr>
        <w:t xml:space="preserve"> – </w:t>
      </w:r>
      <w:r w:rsidRPr="008813F9">
        <w:rPr>
          <w:rFonts w:ascii="Times New Roman" w:hAnsi="Times New Roman"/>
          <w:color w:val="000000" w:themeColor="text1"/>
          <w:sz w:val="20"/>
          <w:szCs w:val="20"/>
          <w:lang w:val="en-US"/>
        </w:rPr>
        <w:t>threatening national climate goals.</w:t>
      </w:r>
    </w:p>
    <w:p w14:paraId="5106C73C" w14:textId="77777777" w:rsidR="009C0665" w:rsidRDefault="009C0665" w:rsidP="008813F9">
      <w:pPr>
        <w:spacing w:after="0" w:line="240" w:lineRule="auto"/>
        <w:jc w:val="both"/>
        <w:rPr>
          <w:rFonts w:ascii="Times New Roman" w:hAnsi="Times New Roman"/>
          <w:color w:val="000000" w:themeColor="text1"/>
          <w:sz w:val="20"/>
          <w:szCs w:val="20"/>
          <w:lang w:val="en-US"/>
        </w:rPr>
      </w:pPr>
    </w:p>
    <w:p w14:paraId="4E2795C4" w14:textId="77777777" w:rsidR="008813F9" w:rsidRPr="008813F9" w:rsidRDefault="008813F9" w:rsidP="009C0665">
      <w:pPr>
        <w:pStyle w:val="NormalnyWeb"/>
        <w:spacing w:before="0" w:beforeAutospacing="0" w:after="0" w:afterAutospacing="0"/>
        <w:jc w:val="center"/>
        <w:rPr>
          <w:rFonts w:ascii="Times New Roman" w:hAnsi="Times New Roman" w:cs="Times New Roman"/>
          <w:color w:val="000000" w:themeColor="text1"/>
          <w:sz w:val="20"/>
          <w:szCs w:val="20"/>
        </w:rPr>
      </w:pPr>
      <w:r w:rsidRPr="008813F9">
        <w:rPr>
          <w:rFonts w:ascii="Times New Roman" w:hAnsi="Times New Roman" w:cs="Times New Roman"/>
          <w:noProof/>
          <w:color w:val="000000" w:themeColor="text1"/>
          <w:sz w:val="20"/>
          <w:szCs w:val="20"/>
        </w:rPr>
        <w:lastRenderedPageBreak/>
        <w:drawing>
          <wp:inline distT="0" distB="0" distL="0" distR="0" wp14:anchorId="61F49FF1" wp14:editId="2D7BC1C0">
            <wp:extent cx="5324475" cy="2762250"/>
            <wp:effectExtent l="0" t="0" r="9525" b="0"/>
            <wp:docPr id="18" name="Image 18" descr="Bar chart showing estimated residual emissions by 2030 considering constrained electric capacity in different regions of Ch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8" descr="Bar chart showing estimated residual emissions by 2030 considering constrained electric capacity in different regions of China"/>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5537"/>
                    <a:stretch>
                      <a:fillRect/>
                    </a:stretch>
                  </pic:blipFill>
                  <pic:spPr bwMode="auto">
                    <a:xfrm>
                      <a:off x="0" y="0"/>
                      <a:ext cx="5324475" cy="2762250"/>
                    </a:xfrm>
                    <a:prstGeom prst="rect">
                      <a:avLst/>
                    </a:prstGeom>
                    <a:noFill/>
                    <a:ln>
                      <a:noFill/>
                    </a:ln>
                    <a:extLst>
                      <a:ext uri="{53640926-AAD7-44D8-BBD7-CCE9431645EC}">
                        <a14:shadowObscured xmlns:a14="http://schemas.microsoft.com/office/drawing/2010/main"/>
                      </a:ext>
                    </a:extLst>
                  </pic:spPr>
                </pic:pic>
              </a:graphicData>
            </a:graphic>
          </wp:inline>
        </w:drawing>
      </w:r>
    </w:p>
    <w:p w14:paraId="2A67C489" w14:textId="77777777" w:rsidR="003C0960" w:rsidRPr="009C0665" w:rsidRDefault="003C0960" w:rsidP="003C0960">
      <w:pPr>
        <w:spacing w:after="0" w:line="240" w:lineRule="auto"/>
        <w:jc w:val="both"/>
        <w:rPr>
          <w:sz w:val="18"/>
          <w:szCs w:val="18"/>
          <w:lang w:val="en-US"/>
        </w:rPr>
      </w:pPr>
      <w:r w:rsidRPr="009C0665">
        <w:rPr>
          <w:rFonts w:ascii="Times New Roman" w:hAnsi="Times New Roman"/>
          <w:color w:val="000000" w:themeColor="text1"/>
          <w:sz w:val="18"/>
          <w:szCs w:val="18"/>
          <w:lang w:val="en-US"/>
        </w:rPr>
        <w:t>Figure 4. Estimated residual emissions by 2030 considering constrained electric capacity, source: own elaboration</w:t>
      </w:r>
    </w:p>
    <w:p w14:paraId="5B171833" w14:textId="77777777" w:rsidR="009C0665" w:rsidRDefault="009C0665" w:rsidP="008813F9">
      <w:pPr>
        <w:spacing w:after="0" w:line="240" w:lineRule="auto"/>
        <w:jc w:val="both"/>
        <w:rPr>
          <w:rFonts w:ascii="Times New Roman" w:hAnsi="Times New Roman"/>
          <w:color w:val="000000" w:themeColor="text1"/>
          <w:sz w:val="20"/>
          <w:szCs w:val="20"/>
          <w:lang w:val="en-US"/>
        </w:rPr>
      </w:pPr>
    </w:p>
    <w:p w14:paraId="5FA963B5" w14:textId="1F9CBD4E"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This figure quantifies the emissions that would persist in 2030 if electricity grid constraints are not addressed:</w:t>
      </w:r>
    </w:p>
    <w:p w14:paraId="0062F8FD" w14:textId="77777777" w:rsidR="008813F9" w:rsidRPr="009C0665" w:rsidRDefault="008813F9">
      <w:pPr>
        <w:numPr>
          <w:ilvl w:val="0"/>
          <w:numId w:val="17"/>
        </w:numPr>
        <w:spacing w:after="0" w:line="240" w:lineRule="auto"/>
        <w:jc w:val="both"/>
        <w:rPr>
          <w:rFonts w:ascii="Times New Roman" w:hAnsi="Times New Roman"/>
          <w:color w:val="000000" w:themeColor="text1"/>
          <w:sz w:val="20"/>
          <w:szCs w:val="20"/>
          <w:lang w:val="en-US"/>
        </w:rPr>
      </w:pPr>
      <w:r w:rsidRPr="009C0665">
        <w:rPr>
          <w:rFonts w:ascii="Times New Roman" w:hAnsi="Times New Roman"/>
          <w:b/>
          <w:bCs/>
          <w:color w:val="000000" w:themeColor="text1"/>
          <w:sz w:val="20"/>
          <w:szCs w:val="20"/>
          <w:lang w:val="en-US"/>
        </w:rPr>
        <w:t>Western China</w:t>
      </w:r>
      <w:r w:rsidRPr="009C0665">
        <w:rPr>
          <w:rFonts w:ascii="Times New Roman" w:hAnsi="Times New Roman"/>
          <w:color w:val="000000" w:themeColor="text1"/>
          <w:sz w:val="20"/>
          <w:szCs w:val="20"/>
          <w:lang w:val="en-US"/>
        </w:rPr>
        <w:t xml:space="preserve"> emits an estimated </w:t>
      </w:r>
      <w:r w:rsidRPr="009C0665">
        <w:rPr>
          <w:rFonts w:ascii="Times New Roman" w:hAnsi="Times New Roman"/>
          <w:b/>
          <w:bCs/>
          <w:color w:val="000000" w:themeColor="text1"/>
          <w:sz w:val="20"/>
          <w:szCs w:val="20"/>
          <w:lang w:val="en-US"/>
        </w:rPr>
        <w:t xml:space="preserve">95 </w:t>
      </w:r>
      <w:proofErr w:type="spellStart"/>
      <w:r w:rsidRPr="009C0665">
        <w:rPr>
          <w:rFonts w:ascii="Times New Roman" w:hAnsi="Times New Roman"/>
          <w:b/>
          <w:bCs/>
          <w:color w:val="000000" w:themeColor="text1"/>
          <w:sz w:val="20"/>
          <w:szCs w:val="20"/>
          <w:lang w:val="en-US"/>
        </w:rPr>
        <w:t>MtCO₂e</w:t>
      </w:r>
      <w:proofErr w:type="spellEnd"/>
      <w:r w:rsidRPr="009C0665">
        <w:rPr>
          <w:rFonts w:ascii="Times New Roman" w:hAnsi="Times New Roman"/>
          <w:color w:val="000000" w:themeColor="text1"/>
          <w:sz w:val="20"/>
          <w:szCs w:val="20"/>
          <w:lang w:val="en-US"/>
        </w:rPr>
        <w:t>, largely from energy-intensive industries unable to transition from coal due to substation limitations.</w:t>
      </w:r>
    </w:p>
    <w:p w14:paraId="6FF6BA67" w14:textId="77777777" w:rsidR="008813F9" w:rsidRPr="009C0665" w:rsidRDefault="008813F9">
      <w:pPr>
        <w:numPr>
          <w:ilvl w:val="0"/>
          <w:numId w:val="17"/>
        </w:numPr>
        <w:spacing w:after="0" w:line="240" w:lineRule="auto"/>
        <w:jc w:val="both"/>
        <w:rPr>
          <w:rFonts w:ascii="Times New Roman" w:hAnsi="Times New Roman"/>
          <w:color w:val="000000" w:themeColor="text1"/>
          <w:sz w:val="20"/>
          <w:szCs w:val="20"/>
          <w:lang w:val="en-US"/>
        </w:rPr>
      </w:pPr>
      <w:r w:rsidRPr="009C0665">
        <w:rPr>
          <w:rFonts w:ascii="Times New Roman" w:hAnsi="Times New Roman"/>
          <w:b/>
          <w:bCs/>
          <w:color w:val="000000" w:themeColor="text1"/>
          <w:sz w:val="20"/>
          <w:szCs w:val="20"/>
          <w:lang w:val="en-US"/>
        </w:rPr>
        <w:t>Central China</w:t>
      </w:r>
      <w:r w:rsidRPr="009C0665">
        <w:rPr>
          <w:rFonts w:ascii="Times New Roman" w:hAnsi="Times New Roman"/>
          <w:color w:val="000000" w:themeColor="text1"/>
          <w:sz w:val="20"/>
          <w:szCs w:val="20"/>
          <w:lang w:val="en-US"/>
        </w:rPr>
        <w:t xml:space="preserve"> follows with </w:t>
      </w:r>
      <w:r w:rsidRPr="009C0665">
        <w:rPr>
          <w:rFonts w:ascii="Times New Roman" w:hAnsi="Times New Roman"/>
          <w:b/>
          <w:bCs/>
          <w:color w:val="000000" w:themeColor="text1"/>
          <w:sz w:val="20"/>
          <w:szCs w:val="20"/>
          <w:lang w:val="en-US"/>
        </w:rPr>
        <w:t xml:space="preserve">72 </w:t>
      </w:r>
      <w:proofErr w:type="spellStart"/>
      <w:r w:rsidRPr="009C0665">
        <w:rPr>
          <w:rFonts w:ascii="Times New Roman" w:hAnsi="Times New Roman"/>
          <w:b/>
          <w:bCs/>
          <w:color w:val="000000" w:themeColor="text1"/>
          <w:sz w:val="20"/>
          <w:szCs w:val="20"/>
          <w:lang w:val="en-US"/>
        </w:rPr>
        <w:t>MtCO₂e</w:t>
      </w:r>
      <w:proofErr w:type="spellEnd"/>
      <w:r w:rsidRPr="009C0665">
        <w:rPr>
          <w:rFonts w:ascii="Times New Roman" w:hAnsi="Times New Roman"/>
          <w:color w:val="000000" w:themeColor="text1"/>
          <w:sz w:val="20"/>
          <w:szCs w:val="20"/>
          <w:lang w:val="en-US"/>
        </w:rPr>
        <w:t>, reflecting rising demand in rapidly growing industrial hubs.</w:t>
      </w:r>
    </w:p>
    <w:p w14:paraId="6759FFF9" w14:textId="77777777" w:rsidR="008813F9" w:rsidRPr="009C0665" w:rsidRDefault="008813F9">
      <w:pPr>
        <w:numPr>
          <w:ilvl w:val="0"/>
          <w:numId w:val="17"/>
        </w:numPr>
        <w:spacing w:after="0" w:line="240" w:lineRule="auto"/>
        <w:jc w:val="both"/>
        <w:rPr>
          <w:rFonts w:ascii="Times New Roman" w:hAnsi="Times New Roman"/>
          <w:color w:val="000000" w:themeColor="text1"/>
          <w:sz w:val="20"/>
          <w:szCs w:val="20"/>
          <w:lang w:val="en-US"/>
        </w:rPr>
      </w:pPr>
      <w:r w:rsidRPr="009C0665">
        <w:rPr>
          <w:rFonts w:ascii="Times New Roman" w:hAnsi="Times New Roman"/>
          <w:b/>
          <w:bCs/>
          <w:color w:val="000000" w:themeColor="text1"/>
          <w:sz w:val="20"/>
          <w:szCs w:val="20"/>
          <w:lang w:val="en-US"/>
        </w:rPr>
        <w:t>Eastern China</w:t>
      </w:r>
      <w:r w:rsidRPr="009C0665">
        <w:rPr>
          <w:rFonts w:ascii="Times New Roman" w:hAnsi="Times New Roman"/>
          <w:color w:val="000000" w:themeColor="text1"/>
          <w:sz w:val="20"/>
          <w:szCs w:val="20"/>
          <w:lang w:val="en-US"/>
        </w:rPr>
        <w:t xml:space="preserve"> contributes </w:t>
      </w:r>
      <w:r w:rsidRPr="009C0665">
        <w:rPr>
          <w:rFonts w:ascii="Times New Roman" w:hAnsi="Times New Roman"/>
          <w:b/>
          <w:bCs/>
          <w:color w:val="000000" w:themeColor="text1"/>
          <w:sz w:val="20"/>
          <w:szCs w:val="20"/>
          <w:lang w:val="en-US"/>
        </w:rPr>
        <w:t xml:space="preserve">48 </w:t>
      </w:r>
      <w:proofErr w:type="spellStart"/>
      <w:r w:rsidRPr="009C0665">
        <w:rPr>
          <w:rFonts w:ascii="Times New Roman" w:hAnsi="Times New Roman"/>
          <w:b/>
          <w:bCs/>
          <w:color w:val="000000" w:themeColor="text1"/>
          <w:sz w:val="20"/>
          <w:szCs w:val="20"/>
          <w:lang w:val="en-US"/>
        </w:rPr>
        <w:t>MtCO₂e</w:t>
      </w:r>
      <w:proofErr w:type="spellEnd"/>
      <w:r w:rsidRPr="009C0665">
        <w:rPr>
          <w:rFonts w:ascii="Times New Roman" w:hAnsi="Times New Roman"/>
          <w:color w:val="000000" w:themeColor="text1"/>
          <w:sz w:val="20"/>
          <w:szCs w:val="20"/>
          <w:lang w:val="en-US"/>
        </w:rPr>
        <w:t>, primarily due to high industrial density and demand surges.</w:t>
      </w:r>
    </w:p>
    <w:p w14:paraId="02BDD3BE" w14:textId="77777777" w:rsidR="008813F9" w:rsidRPr="009C0665" w:rsidRDefault="008813F9">
      <w:pPr>
        <w:numPr>
          <w:ilvl w:val="0"/>
          <w:numId w:val="17"/>
        </w:numPr>
        <w:spacing w:after="0" w:line="240" w:lineRule="auto"/>
        <w:jc w:val="both"/>
        <w:rPr>
          <w:rFonts w:ascii="Times New Roman" w:hAnsi="Times New Roman"/>
          <w:color w:val="000000" w:themeColor="text1"/>
          <w:sz w:val="20"/>
          <w:szCs w:val="20"/>
          <w:lang w:val="en-US"/>
        </w:rPr>
      </w:pPr>
      <w:r w:rsidRPr="009C0665">
        <w:rPr>
          <w:rFonts w:ascii="Times New Roman" w:hAnsi="Times New Roman"/>
          <w:b/>
          <w:bCs/>
          <w:color w:val="000000" w:themeColor="text1"/>
          <w:sz w:val="20"/>
          <w:szCs w:val="20"/>
          <w:lang w:val="en-US"/>
        </w:rPr>
        <w:t>Northeast China</w:t>
      </w:r>
      <w:r w:rsidRPr="009C0665">
        <w:rPr>
          <w:rFonts w:ascii="Times New Roman" w:hAnsi="Times New Roman"/>
          <w:color w:val="000000" w:themeColor="text1"/>
          <w:sz w:val="20"/>
          <w:szCs w:val="20"/>
          <w:lang w:val="en-US"/>
        </w:rPr>
        <w:t xml:space="preserve">, with earlier infrastructure upgrades, shows the lowest projected residuals at </w:t>
      </w:r>
      <w:r w:rsidRPr="009C0665">
        <w:rPr>
          <w:rFonts w:ascii="Times New Roman" w:hAnsi="Times New Roman"/>
          <w:b/>
          <w:bCs/>
          <w:color w:val="000000" w:themeColor="text1"/>
          <w:sz w:val="20"/>
          <w:szCs w:val="20"/>
          <w:lang w:val="en-US"/>
        </w:rPr>
        <w:t xml:space="preserve">36 </w:t>
      </w:r>
      <w:proofErr w:type="spellStart"/>
      <w:r w:rsidRPr="009C0665">
        <w:rPr>
          <w:rFonts w:ascii="Times New Roman" w:hAnsi="Times New Roman"/>
          <w:b/>
          <w:bCs/>
          <w:color w:val="000000" w:themeColor="text1"/>
          <w:sz w:val="20"/>
          <w:szCs w:val="20"/>
          <w:lang w:val="en-US"/>
        </w:rPr>
        <w:t>MtCO₂e</w:t>
      </w:r>
      <w:proofErr w:type="spellEnd"/>
      <w:r w:rsidRPr="009C0665">
        <w:rPr>
          <w:rFonts w:ascii="Times New Roman" w:hAnsi="Times New Roman"/>
          <w:color w:val="000000" w:themeColor="text1"/>
          <w:sz w:val="20"/>
          <w:szCs w:val="20"/>
          <w:lang w:val="en-US"/>
        </w:rPr>
        <w:t>.</w:t>
      </w:r>
    </w:p>
    <w:p w14:paraId="4770E329"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These residuals represent a critical barrier to meeting China's 2030 carbon peaking target, reinforcing the urgency of front-loaded grid expansion in vulnerable provinces.</w:t>
      </w:r>
    </w:p>
    <w:p w14:paraId="786040A4" w14:textId="77777777" w:rsidR="009C0665" w:rsidRDefault="009C0665" w:rsidP="008813F9">
      <w:pPr>
        <w:spacing w:after="0" w:line="240" w:lineRule="auto"/>
        <w:jc w:val="both"/>
        <w:rPr>
          <w:rFonts w:ascii="Times New Roman" w:hAnsi="Times New Roman"/>
          <w:b/>
          <w:bCs/>
          <w:i/>
          <w:iCs/>
          <w:color w:val="000000" w:themeColor="text1"/>
          <w:sz w:val="20"/>
          <w:szCs w:val="20"/>
          <w:lang w:val="en-US"/>
        </w:rPr>
      </w:pPr>
    </w:p>
    <w:p w14:paraId="50C76C25" w14:textId="78620B90" w:rsidR="008813F9" w:rsidRPr="009C0665" w:rsidRDefault="009C0665" w:rsidP="008813F9">
      <w:pPr>
        <w:spacing w:after="0" w:line="240" w:lineRule="auto"/>
        <w:jc w:val="both"/>
        <w:rPr>
          <w:rFonts w:ascii="Times New Roman" w:hAnsi="Times New Roman"/>
          <w:i/>
          <w:iCs/>
          <w:color w:val="000000" w:themeColor="text1"/>
          <w:sz w:val="20"/>
          <w:szCs w:val="20"/>
          <w:lang w:val="en-US"/>
        </w:rPr>
      </w:pPr>
      <w:r w:rsidRPr="009C0665">
        <w:rPr>
          <w:rFonts w:ascii="Times New Roman" w:hAnsi="Times New Roman"/>
          <w:i/>
          <w:iCs/>
          <w:color w:val="000000" w:themeColor="text1"/>
          <w:sz w:val="20"/>
          <w:szCs w:val="20"/>
          <w:lang w:val="en-US"/>
        </w:rPr>
        <w:t>5</w:t>
      </w:r>
      <w:r w:rsidR="008813F9" w:rsidRPr="009C0665">
        <w:rPr>
          <w:rFonts w:ascii="Times New Roman" w:hAnsi="Times New Roman"/>
          <w:i/>
          <w:iCs/>
          <w:color w:val="000000" w:themeColor="text1"/>
          <w:sz w:val="20"/>
          <w:szCs w:val="20"/>
          <w:lang w:val="en-US"/>
        </w:rPr>
        <w:t>.2. Electricity capacity needs for large (point-source) industrial sites only</w:t>
      </w:r>
    </w:p>
    <w:p w14:paraId="0D8CA687" w14:textId="35CD5499" w:rsidR="008813F9" w:rsidRPr="009C0665" w:rsidRDefault="009C0665" w:rsidP="008813F9">
      <w:pPr>
        <w:spacing w:after="0" w:line="240" w:lineRule="auto"/>
        <w:jc w:val="both"/>
        <w:rPr>
          <w:rFonts w:ascii="Times New Roman" w:hAnsi="Times New Roman"/>
          <w:i/>
          <w:iCs/>
          <w:color w:val="000000" w:themeColor="text1"/>
          <w:sz w:val="20"/>
          <w:szCs w:val="20"/>
          <w:lang w:val="en-US"/>
        </w:rPr>
      </w:pPr>
      <w:r w:rsidRPr="009C0665">
        <w:rPr>
          <w:rFonts w:ascii="Times New Roman" w:hAnsi="Times New Roman"/>
          <w:i/>
          <w:iCs/>
          <w:color w:val="000000" w:themeColor="text1"/>
          <w:sz w:val="20"/>
          <w:szCs w:val="20"/>
          <w:lang w:val="en-US"/>
        </w:rPr>
        <w:t>5</w:t>
      </w:r>
      <w:r w:rsidR="008813F9" w:rsidRPr="009C0665">
        <w:rPr>
          <w:rFonts w:ascii="Times New Roman" w:hAnsi="Times New Roman"/>
          <w:i/>
          <w:iCs/>
          <w:color w:val="000000" w:themeColor="text1"/>
          <w:sz w:val="20"/>
          <w:szCs w:val="20"/>
          <w:lang w:val="en-US"/>
        </w:rPr>
        <w:t>.2.1. Percentage of industrial sites that are constrained and the total capacity needed</w:t>
      </w:r>
    </w:p>
    <w:p w14:paraId="67DD4FC6"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Out of 1,358 large industrial point-source facilities mapped across China, an estimated 41% are projected to face grid constraints under the Balanced Decarbonization scenario by 2050. This proportion increases to 57% under the Max Electrification pathway, reflecting the rising pressure on the electricity network as more sectors transition to electric power.</w:t>
      </w:r>
    </w:p>
    <w:p w14:paraId="304A4AC1"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The total unmet capacity for these constrained sites is projected to reach 160 GW under the Balanced scenario and 250 GW under Max Electrification. These shortages are predominantly concentrated in energy-intensive provinces such as Inner Mongolia, Hebei, and Chongqing, which host major industrial clusters but face lagging infrastructure development.</w:t>
      </w:r>
    </w:p>
    <w:p w14:paraId="2D229034" w14:textId="77777777" w:rsid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As illustrated in Figure 5, the share of constrained point-source sites exceeds half of the national total, signaling a systemic infrastructure bottleneck that must be addressed to enable full decarbonization.</w:t>
      </w:r>
    </w:p>
    <w:p w14:paraId="47DE6009" w14:textId="77777777" w:rsidR="009C0665" w:rsidRDefault="009C0665" w:rsidP="008813F9">
      <w:pPr>
        <w:spacing w:after="0" w:line="240" w:lineRule="auto"/>
        <w:jc w:val="both"/>
        <w:rPr>
          <w:rFonts w:ascii="Times New Roman" w:hAnsi="Times New Roman"/>
          <w:color w:val="000000" w:themeColor="text1"/>
          <w:sz w:val="20"/>
          <w:szCs w:val="20"/>
          <w:lang w:val="en-US"/>
        </w:rPr>
      </w:pPr>
    </w:p>
    <w:p w14:paraId="2202D650" w14:textId="77777777" w:rsidR="008813F9" w:rsidRPr="008813F9" w:rsidRDefault="008813F9" w:rsidP="009C0665">
      <w:pPr>
        <w:pStyle w:val="NormalnyWeb"/>
        <w:spacing w:before="0" w:beforeAutospacing="0" w:after="0" w:afterAutospacing="0"/>
        <w:jc w:val="center"/>
        <w:rPr>
          <w:rFonts w:ascii="Times New Roman" w:hAnsi="Times New Roman" w:cs="Times New Roman"/>
          <w:color w:val="000000" w:themeColor="text1"/>
          <w:sz w:val="20"/>
          <w:szCs w:val="20"/>
        </w:rPr>
      </w:pPr>
      <w:r w:rsidRPr="008813F9">
        <w:rPr>
          <w:rFonts w:ascii="Times New Roman" w:hAnsi="Times New Roman" w:cs="Times New Roman"/>
          <w:noProof/>
          <w:color w:val="000000" w:themeColor="text1"/>
          <w:sz w:val="20"/>
          <w:szCs w:val="20"/>
        </w:rPr>
        <w:drawing>
          <wp:inline distT="0" distB="0" distL="0" distR="0" wp14:anchorId="65175395" wp14:editId="50F7997F">
            <wp:extent cx="4543425" cy="2238375"/>
            <wp:effectExtent l="0" t="0" r="9525" b="9525"/>
            <wp:docPr id="19" name="Image 19" descr="Circle graph presenting percentage of industrial point-source constrained sites in Ch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descr="Circle graph presenting percentage of industrial point-source constrained sites in China"/>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2795" b="8081"/>
                    <a:stretch>
                      <a:fillRect/>
                    </a:stretch>
                  </pic:blipFill>
                  <pic:spPr bwMode="auto">
                    <a:xfrm>
                      <a:off x="0" y="0"/>
                      <a:ext cx="4543425" cy="2238375"/>
                    </a:xfrm>
                    <a:prstGeom prst="rect">
                      <a:avLst/>
                    </a:prstGeom>
                    <a:noFill/>
                    <a:ln>
                      <a:noFill/>
                    </a:ln>
                    <a:extLst>
                      <a:ext uri="{53640926-AAD7-44D8-BBD7-CCE9431645EC}">
                        <a14:shadowObscured xmlns:a14="http://schemas.microsoft.com/office/drawing/2010/main"/>
                      </a:ext>
                    </a:extLst>
                  </pic:spPr>
                </pic:pic>
              </a:graphicData>
            </a:graphic>
          </wp:inline>
        </w:drawing>
      </w:r>
    </w:p>
    <w:p w14:paraId="0BEBC976" w14:textId="77777777" w:rsidR="003C0960" w:rsidRPr="009C0665" w:rsidRDefault="003C0960" w:rsidP="003C0960">
      <w:pPr>
        <w:spacing w:after="0" w:line="240" w:lineRule="auto"/>
        <w:jc w:val="both"/>
        <w:rPr>
          <w:rFonts w:ascii="Times New Roman" w:hAnsi="Times New Roman"/>
          <w:color w:val="000000" w:themeColor="text1"/>
          <w:sz w:val="18"/>
          <w:szCs w:val="18"/>
          <w:lang w:val="en-US"/>
        </w:rPr>
      </w:pPr>
      <w:r w:rsidRPr="009C0665">
        <w:rPr>
          <w:rFonts w:ascii="Times New Roman" w:hAnsi="Times New Roman"/>
          <w:color w:val="000000" w:themeColor="text1"/>
          <w:sz w:val="18"/>
          <w:szCs w:val="18"/>
          <w:lang w:val="en-US"/>
        </w:rPr>
        <w:t xml:space="preserve">Figure 5. Percentage of industrial point-source constrained sites (total=654), source: own elaboration </w:t>
      </w:r>
    </w:p>
    <w:p w14:paraId="61E4701C"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p>
    <w:p w14:paraId="13ADD318"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This figure shows that approximately 57% (372 out of 654) of large industrial point-source sites are projected to be constrained by 2050, lacking sufficient grid capacity to support electrification:</w:t>
      </w:r>
    </w:p>
    <w:p w14:paraId="0E87E8EF" w14:textId="77777777" w:rsidR="008813F9" w:rsidRPr="009C0665" w:rsidRDefault="008813F9">
      <w:pPr>
        <w:numPr>
          <w:ilvl w:val="0"/>
          <w:numId w:val="18"/>
        </w:numPr>
        <w:spacing w:after="0" w:line="240" w:lineRule="auto"/>
        <w:jc w:val="both"/>
        <w:rPr>
          <w:rFonts w:ascii="Times New Roman" w:hAnsi="Times New Roman"/>
          <w:color w:val="000000" w:themeColor="text1"/>
          <w:sz w:val="20"/>
          <w:szCs w:val="20"/>
          <w:lang w:val="en-US"/>
        </w:rPr>
      </w:pPr>
      <w:r w:rsidRPr="009C0665">
        <w:rPr>
          <w:rFonts w:ascii="Times New Roman" w:hAnsi="Times New Roman"/>
          <w:color w:val="000000" w:themeColor="text1"/>
          <w:sz w:val="20"/>
          <w:szCs w:val="20"/>
          <w:lang w:val="en-US"/>
        </w:rPr>
        <w:t xml:space="preserve">The </w:t>
      </w:r>
      <w:r w:rsidRPr="009C0665">
        <w:rPr>
          <w:rFonts w:ascii="Times New Roman" w:hAnsi="Times New Roman"/>
          <w:b/>
          <w:bCs/>
          <w:color w:val="000000" w:themeColor="text1"/>
          <w:sz w:val="20"/>
          <w:szCs w:val="20"/>
          <w:lang w:val="en-US"/>
        </w:rPr>
        <w:t>43% unconstrained sites</w:t>
      </w:r>
      <w:r w:rsidRPr="009C0665">
        <w:rPr>
          <w:rFonts w:ascii="Times New Roman" w:hAnsi="Times New Roman"/>
          <w:color w:val="000000" w:themeColor="text1"/>
          <w:sz w:val="20"/>
          <w:szCs w:val="20"/>
          <w:lang w:val="en-US"/>
        </w:rPr>
        <w:t xml:space="preserve"> are primarily located in grid-advanced regions or are part of lower-intensity industrial sectors.</w:t>
      </w:r>
    </w:p>
    <w:p w14:paraId="0EFFC88F" w14:textId="77777777" w:rsidR="008813F9" w:rsidRPr="009C0665" w:rsidRDefault="008813F9">
      <w:pPr>
        <w:numPr>
          <w:ilvl w:val="0"/>
          <w:numId w:val="18"/>
        </w:numPr>
        <w:spacing w:after="0" w:line="240" w:lineRule="auto"/>
        <w:jc w:val="both"/>
        <w:rPr>
          <w:rFonts w:ascii="Times New Roman" w:hAnsi="Times New Roman"/>
          <w:color w:val="000000" w:themeColor="text1"/>
          <w:sz w:val="20"/>
          <w:szCs w:val="20"/>
          <w:lang w:val="en-US"/>
        </w:rPr>
      </w:pPr>
      <w:r w:rsidRPr="009C0665">
        <w:rPr>
          <w:rFonts w:ascii="Times New Roman" w:hAnsi="Times New Roman"/>
          <w:color w:val="000000" w:themeColor="text1"/>
          <w:sz w:val="20"/>
          <w:szCs w:val="20"/>
          <w:lang w:val="en-US"/>
        </w:rPr>
        <w:t>Constrained sites are disproportionately located in regions with outdated grid systems or rapid industrial growth.</w:t>
      </w:r>
    </w:p>
    <w:p w14:paraId="05BDBE1D" w14:textId="7D53C7D8"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This high constraint ratio highlights the urgent need for targeted investments in electricity network reinforcement</w:t>
      </w:r>
      <w:r w:rsidR="009C0665">
        <w:rPr>
          <w:rFonts w:ascii="Times New Roman" w:hAnsi="Times New Roman"/>
          <w:color w:val="000000" w:themeColor="text1"/>
          <w:sz w:val="20"/>
          <w:szCs w:val="20"/>
          <w:lang w:val="en-US"/>
        </w:rPr>
        <w:t xml:space="preserve"> – </w:t>
      </w:r>
      <w:r w:rsidRPr="008813F9">
        <w:rPr>
          <w:rFonts w:ascii="Times New Roman" w:hAnsi="Times New Roman"/>
          <w:color w:val="000000" w:themeColor="text1"/>
          <w:sz w:val="20"/>
          <w:szCs w:val="20"/>
          <w:lang w:val="en-US"/>
        </w:rPr>
        <w:t>particularly in high-emission sectors and provinces with large-scale industrial electrification demands.</w:t>
      </w:r>
    </w:p>
    <w:p w14:paraId="5B331FCC" w14:textId="77777777" w:rsid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The magnitude of these capacity shortfalls is further visualized in Figure 6, which aggregates the total additional electricity capacity required by constrained point-source industrial sites across regions.</w:t>
      </w:r>
    </w:p>
    <w:p w14:paraId="7216C855" w14:textId="77777777" w:rsidR="009C0665" w:rsidRDefault="009C0665" w:rsidP="008813F9">
      <w:pPr>
        <w:spacing w:after="0" w:line="240" w:lineRule="auto"/>
        <w:jc w:val="both"/>
        <w:rPr>
          <w:rFonts w:ascii="Times New Roman" w:hAnsi="Times New Roman"/>
          <w:color w:val="000000" w:themeColor="text1"/>
          <w:sz w:val="20"/>
          <w:szCs w:val="20"/>
          <w:lang w:val="en-US"/>
        </w:rPr>
      </w:pPr>
    </w:p>
    <w:p w14:paraId="5357B6F7" w14:textId="77777777" w:rsidR="008813F9" w:rsidRPr="008813F9" w:rsidRDefault="008813F9" w:rsidP="00CB4540">
      <w:pPr>
        <w:pStyle w:val="NormalnyWeb"/>
        <w:spacing w:before="0" w:beforeAutospacing="0" w:after="0" w:afterAutospacing="0"/>
        <w:jc w:val="center"/>
        <w:rPr>
          <w:rFonts w:ascii="Times New Roman" w:hAnsi="Times New Roman" w:cs="Times New Roman"/>
          <w:color w:val="000000" w:themeColor="text1"/>
          <w:sz w:val="20"/>
          <w:szCs w:val="20"/>
        </w:rPr>
      </w:pPr>
      <w:r w:rsidRPr="008813F9">
        <w:rPr>
          <w:rFonts w:ascii="Times New Roman" w:hAnsi="Times New Roman" w:cs="Times New Roman"/>
          <w:noProof/>
          <w:color w:val="000000" w:themeColor="text1"/>
          <w:sz w:val="20"/>
          <w:szCs w:val="20"/>
        </w:rPr>
        <w:drawing>
          <wp:inline distT="0" distB="0" distL="0" distR="0" wp14:anchorId="38211E7C" wp14:editId="6B3AFE3E">
            <wp:extent cx="5391150" cy="2781300"/>
            <wp:effectExtent l="0" t="0" r="0" b="0"/>
            <wp:docPr id="20" name="Image 20" descr="Bar chart showing total capacity needs for constrained point-source industrial sites by 2050 in different regions in Ch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20" descr="Bar chart showing total capacity needs for constrained point-source industrial sites by 2050 in different regions in China"/>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5806"/>
                    <a:stretch>
                      <a:fillRect/>
                    </a:stretch>
                  </pic:blipFill>
                  <pic:spPr bwMode="auto">
                    <a:xfrm>
                      <a:off x="0" y="0"/>
                      <a:ext cx="5391150" cy="2781300"/>
                    </a:xfrm>
                    <a:prstGeom prst="rect">
                      <a:avLst/>
                    </a:prstGeom>
                    <a:noFill/>
                    <a:ln>
                      <a:noFill/>
                    </a:ln>
                    <a:extLst>
                      <a:ext uri="{53640926-AAD7-44D8-BBD7-CCE9431645EC}">
                        <a14:shadowObscured xmlns:a14="http://schemas.microsoft.com/office/drawing/2010/main"/>
                      </a:ext>
                    </a:extLst>
                  </pic:spPr>
                </pic:pic>
              </a:graphicData>
            </a:graphic>
          </wp:inline>
        </w:drawing>
      </w:r>
    </w:p>
    <w:p w14:paraId="604374F9" w14:textId="77777777" w:rsidR="003C0960" w:rsidRPr="00CB4540" w:rsidRDefault="003C0960" w:rsidP="003C0960">
      <w:pPr>
        <w:spacing w:after="0" w:line="240" w:lineRule="auto"/>
        <w:jc w:val="both"/>
        <w:rPr>
          <w:sz w:val="18"/>
          <w:szCs w:val="18"/>
          <w:lang w:val="en-US"/>
        </w:rPr>
      </w:pPr>
      <w:r w:rsidRPr="00CB4540">
        <w:rPr>
          <w:rFonts w:ascii="Times New Roman" w:hAnsi="Times New Roman"/>
          <w:color w:val="000000" w:themeColor="text1"/>
          <w:sz w:val="18"/>
          <w:szCs w:val="18"/>
          <w:lang w:val="en-US"/>
        </w:rPr>
        <w:t>Figure 6. Total capacity needs for constrained point-source industrial sites by 2050, source: own elaboration</w:t>
      </w:r>
    </w:p>
    <w:p w14:paraId="6713041C"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p>
    <w:p w14:paraId="5F9192F7"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This figure highlights the regional distribution of total unmet electricity needs in constrained industrial sites:</w:t>
      </w:r>
    </w:p>
    <w:p w14:paraId="6EC0040A" w14:textId="77777777" w:rsidR="008813F9" w:rsidRPr="00CB4540" w:rsidRDefault="008813F9">
      <w:pPr>
        <w:numPr>
          <w:ilvl w:val="0"/>
          <w:numId w:val="19"/>
        </w:numPr>
        <w:spacing w:after="0" w:line="240" w:lineRule="auto"/>
        <w:jc w:val="both"/>
        <w:rPr>
          <w:rFonts w:ascii="Times New Roman" w:hAnsi="Times New Roman"/>
          <w:color w:val="000000" w:themeColor="text1"/>
          <w:sz w:val="20"/>
          <w:szCs w:val="20"/>
          <w:lang w:val="en-US"/>
        </w:rPr>
      </w:pPr>
      <w:r w:rsidRPr="00CB4540">
        <w:rPr>
          <w:rFonts w:ascii="Times New Roman" w:hAnsi="Times New Roman"/>
          <w:b/>
          <w:bCs/>
          <w:color w:val="000000" w:themeColor="text1"/>
          <w:sz w:val="20"/>
          <w:szCs w:val="20"/>
          <w:lang w:val="en-US"/>
        </w:rPr>
        <w:t>Western China</w:t>
      </w:r>
      <w:r w:rsidRPr="00CB4540">
        <w:rPr>
          <w:rFonts w:ascii="Times New Roman" w:hAnsi="Times New Roman"/>
          <w:color w:val="000000" w:themeColor="text1"/>
          <w:sz w:val="20"/>
          <w:szCs w:val="20"/>
          <w:lang w:val="en-US"/>
        </w:rPr>
        <w:t xml:space="preserve"> again leads, requiring an estimated </w:t>
      </w:r>
      <w:r w:rsidRPr="00CB4540">
        <w:rPr>
          <w:rFonts w:ascii="Times New Roman" w:hAnsi="Times New Roman"/>
          <w:b/>
          <w:bCs/>
          <w:color w:val="000000" w:themeColor="text1"/>
          <w:sz w:val="20"/>
          <w:szCs w:val="20"/>
          <w:lang w:val="en-US"/>
        </w:rPr>
        <w:t>135 GW</w:t>
      </w:r>
      <w:r w:rsidRPr="00CB4540">
        <w:rPr>
          <w:rFonts w:ascii="Times New Roman" w:hAnsi="Times New Roman"/>
          <w:color w:val="000000" w:themeColor="text1"/>
          <w:sz w:val="20"/>
          <w:szCs w:val="20"/>
          <w:lang w:val="en-US"/>
        </w:rPr>
        <w:t xml:space="preserve"> in additional capacity—driven by steel and mining hubs in Inner Mongolia and Gansu.</w:t>
      </w:r>
    </w:p>
    <w:p w14:paraId="5767EC91" w14:textId="77777777" w:rsidR="008813F9" w:rsidRPr="00CB4540" w:rsidRDefault="008813F9">
      <w:pPr>
        <w:numPr>
          <w:ilvl w:val="0"/>
          <w:numId w:val="19"/>
        </w:numPr>
        <w:spacing w:after="0" w:line="240" w:lineRule="auto"/>
        <w:jc w:val="both"/>
        <w:rPr>
          <w:rFonts w:ascii="Times New Roman" w:hAnsi="Times New Roman"/>
          <w:color w:val="000000" w:themeColor="text1"/>
          <w:sz w:val="20"/>
          <w:szCs w:val="20"/>
          <w:lang w:val="en-US"/>
        </w:rPr>
      </w:pPr>
      <w:r w:rsidRPr="00CB4540">
        <w:rPr>
          <w:rFonts w:ascii="Times New Roman" w:hAnsi="Times New Roman"/>
          <w:b/>
          <w:bCs/>
          <w:color w:val="000000" w:themeColor="text1"/>
          <w:sz w:val="20"/>
          <w:szCs w:val="20"/>
          <w:lang w:val="en-US"/>
        </w:rPr>
        <w:t>Central China</w:t>
      </w:r>
      <w:r w:rsidRPr="00CB4540">
        <w:rPr>
          <w:rFonts w:ascii="Times New Roman" w:hAnsi="Times New Roman"/>
          <w:color w:val="000000" w:themeColor="text1"/>
          <w:sz w:val="20"/>
          <w:szCs w:val="20"/>
          <w:lang w:val="en-US"/>
        </w:rPr>
        <w:t xml:space="preserve"> follows with </w:t>
      </w:r>
      <w:r w:rsidRPr="00CB4540">
        <w:rPr>
          <w:rFonts w:ascii="Times New Roman" w:hAnsi="Times New Roman"/>
          <w:b/>
          <w:bCs/>
          <w:color w:val="000000" w:themeColor="text1"/>
          <w:sz w:val="20"/>
          <w:szCs w:val="20"/>
          <w:lang w:val="en-US"/>
        </w:rPr>
        <w:t>100 GW</w:t>
      </w:r>
      <w:r w:rsidRPr="00CB4540">
        <w:rPr>
          <w:rFonts w:ascii="Times New Roman" w:hAnsi="Times New Roman"/>
          <w:color w:val="000000" w:themeColor="text1"/>
          <w:sz w:val="20"/>
          <w:szCs w:val="20"/>
          <w:lang w:val="en-US"/>
        </w:rPr>
        <w:t xml:space="preserve">, reflecting high demand in industrial provinces such as </w:t>
      </w:r>
      <w:r w:rsidRPr="00CB4540">
        <w:rPr>
          <w:rFonts w:ascii="Times New Roman" w:hAnsi="Times New Roman"/>
          <w:b/>
          <w:bCs/>
          <w:color w:val="000000" w:themeColor="text1"/>
          <w:sz w:val="20"/>
          <w:szCs w:val="20"/>
          <w:lang w:val="en-US"/>
        </w:rPr>
        <w:t>Henan</w:t>
      </w:r>
      <w:r w:rsidRPr="00CB4540">
        <w:rPr>
          <w:rFonts w:ascii="Times New Roman" w:hAnsi="Times New Roman"/>
          <w:color w:val="000000" w:themeColor="text1"/>
          <w:sz w:val="20"/>
          <w:szCs w:val="20"/>
          <w:lang w:val="en-US"/>
        </w:rPr>
        <w:t xml:space="preserve"> and </w:t>
      </w:r>
      <w:r w:rsidRPr="00CB4540">
        <w:rPr>
          <w:rFonts w:ascii="Times New Roman" w:hAnsi="Times New Roman"/>
          <w:b/>
          <w:bCs/>
          <w:color w:val="000000" w:themeColor="text1"/>
          <w:sz w:val="20"/>
          <w:szCs w:val="20"/>
          <w:lang w:val="en-US"/>
        </w:rPr>
        <w:t>Hunan</w:t>
      </w:r>
      <w:r w:rsidRPr="00CB4540">
        <w:rPr>
          <w:rFonts w:ascii="Times New Roman" w:hAnsi="Times New Roman"/>
          <w:color w:val="000000" w:themeColor="text1"/>
          <w:sz w:val="20"/>
          <w:szCs w:val="20"/>
          <w:lang w:val="en-US"/>
        </w:rPr>
        <w:t>.</w:t>
      </w:r>
    </w:p>
    <w:p w14:paraId="48EB571C" w14:textId="77777777" w:rsidR="008813F9" w:rsidRPr="00CB4540" w:rsidRDefault="008813F9">
      <w:pPr>
        <w:numPr>
          <w:ilvl w:val="0"/>
          <w:numId w:val="19"/>
        </w:numPr>
        <w:spacing w:after="0" w:line="240" w:lineRule="auto"/>
        <w:jc w:val="both"/>
        <w:rPr>
          <w:rFonts w:ascii="Times New Roman" w:hAnsi="Times New Roman"/>
          <w:color w:val="000000" w:themeColor="text1"/>
          <w:sz w:val="20"/>
          <w:szCs w:val="20"/>
          <w:lang w:val="en-US"/>
        </w:rPr>
      </w:pPr>
      <w:r w:rsidRPr="00CB4540">
        <w:rPr>
          <w:rFonts w:ascii="Times New Roman" w:hAnsi="Times New Roman"/>
          <w:b/>
          <w:bCs/>
          <w:color w:val="000000" w:themeColor="text1"/>
          <w:sz w:val="20"/>
          <w:szCs w:val="20"/>
          <w:lang w:val="en-US"/>
        </w:rPr>
        <w:t>Eastern and Northeastern China</w:t>
      </w:r>
      <w:r w:rsidRPr="00CB4540">
        <w:rPr>
          <w:rFonts w:ascii="Times New Roman" w:hAnsi="Times New Roman"/>
          <w:color w:val="000000" w:themeColor="text1"/>
          <w:sz w:val="20"/>
          <w:szCs w:val="20"/>
          <w:lang w:val="en-US"/>
        </w:rPr>
        <w:t xml:space="preserve"> require relatively lower capacity additions (</w:t>
      </w:r>
      <w:r w:rsidRPr="00CB4540">
        <w:rPr>
          <w:rFonts w:ascii="Times New Roman" w:hAnsi="Times New Roman"/>
          <w:b/>
          <w:bCs/>
          <w:color w:val="000000" w:themeColor="text1"/>
          <w:sz w:val="20"/>
          <w:szCs w:val="20"/>
          <w:lang w:val="en-US"/>
        </w:rPr>
        <w:t>80 GW</w:t>
      </w:r>
      <w:r w:rsidRPr="00CB4540">
        <w:rPr>
          <w:rFonts w:ascii="Times New Roman" w:hAnsi="Times New Roman"/>
          <w:color w:val="000000" w:themeColor="text1"/>
          <w:sz w:val="20"/>
          <w:szCs w:val="20"/>
          <w:lang w:val="en-US"/>
        </w:rPr>
        <w:t xml:space="preserve"> and </w:t>
      </w:r>
      <w:r w:rsidRPr="00CB4540">
        <w:rPr>
          <w:rFonts w:ascii="Times New Roman" w:hAnsi="Times New Roman"/>
          <w:b/>
          <w:bCs/>
          <w:color w:val="000000" w:themeColor="text1"/>
          <w:sz w:val="20"/>
          <w:szCs w:val="20"/>
          <w:lang w:val="en-US"/>
        </w:rPr>
        <w:t>50 GW</w:t>
      </w:r>
      <w:r w:rsidRPr="00CB4540">
        <w:rPr>
          <w:rFonts w:ascii="Times New Roman" w:hAnsi="Times New Roman"/>
          <w:color w:val="000000" w:themeColor="text1"/>
          <w:sz w:val="20"/>
          <w:szCs w:val="20"/>
          <w:lang w:val="en-US"/>
        </w:rPr>
        <w:t>, respectively), due to existing infrastructure readiness.</w:t>
      </w:r>
    </w:p>
    <w:p w14:paraId="07799E40"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These values reinforce the need for regionally tailored infrastructure planning, where the highest-emitting and most constrained provinces are prioritized in grid expansion strategies.</w:t>
      </w:r>
    </w:p>
    <w:p w14:paraId="6CCCE9F8" w14:textId="77777777" w:rsidR="00CB4540" w:rsidRDefault="00CB4540" w:rsidP="008813F9">
      <w:pPr>
        <w:spacing w:after="0" w:line="240" w:lineRule="auto"/>
        <w:jc w:val="both"/>
        <w:rPr>
          <w:rFonts w:ascii="Times New Roman" w:hAnsi="Times New Roman"/>
          <w:b/>
          <w:bCs/>
          <w:i/>
          <w:iCs/>
          <w:color w:val="000000" w:themeColor="text1"/>
          <w:sz w:val="20"/>
          <w:szCs w:val="20"/>
          <w:lang w:val="en-US"/>
        </w:rPr>
      </w:pPr>
    </w:p>
    <w:p w14:paraId="5FB89EE4" w14:textId="4FB4F94D" w:rsidR="008813F9" w:rsidRPr="00CB4540" w:rsidRDefault="00CB4540" w:rsidP="008813F9">
      <w:pPr>
        <w:spacing w:after="0" w:line="240" w:lineRule="auto"/>
        <w:jc w:val="both"/>
        <w:rPr>
          <w:rFonts w:ascii="Times New Roman" w:hAnsi="Times New Roman"/>
          <w:i/>
          <w:iCs/>
          <w:color w:val="000000" w:themeColor="text1"/>
          <w:sz w:val="20"/>
          <w:szCs w:val="20"/>
          <w:lang w:val="en-US"/>
        </w:rPr>
      </w:pPr>
      <w:r w:rsidRPr="00CB4540">
        <w:rPr>
          <w:rFonts w:ascii="Times New Roman" w:hAnsi="Times New Roman"/>
          <w:i/>
          <w:iCs/>
          <w:color w:val="000000" w:themeColor="text1"/>
          <w:sz w:val="20"/>
          <w:szCs w:val="20"/>
          <w:lang w:val="en-US"/>
        </w:rPr>
        <w:t>5</w:t>
      </w:r>
      <w:r w:rsidR="008813F9" w:rsidRPr="00CB4540">
        <w:rPr>
          <w:rFonts w:ascii="Times New Roman" w:hAnsi="Times New Roman"/>
          <w:i/>
          <w:iCs/>
          <w:color w:val="000000" w:themeColor="text1"/>
          <w:sz w:val="20"/>
          <w:szCs w:val="20"/>
          <w:lang w:val="en-US"/>
        </w:rPr>
        <w:t>.2.2. The additional electric capacity needs for constrained large industrial sites</w:t>
      </w:r>
    </w:p>
    <w:p w14:paraId="48B48006"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Among the constrained large industrial point-source sites identified in the previous section, the average site is projected to require an additional 118 MW of electricity capacity to support full decarbonization. However, this average masks considerable variation across regions and sectors.</w:t>
      </w:r>
    </w:p>
    <w:p w14:paraId="4FA02EEF" w14:textId="77777777" w:rsidR="008813F9" w:rsidRPr="008813F9" w:rsidRDefault="008813F9" w:rsidP="008813F9">
      <w:pPr>
        <w:spacing w:after="0" w:line="240" w:lineRule="auto"/>
        <w:jc w:val="both"/>
        <w:rPr>
          <w:rFonts w:ascii="Times New Roman" w:hAnsi="Times New Roman"/>
          <w:color w:val="000000" w:themeColor="text1"/>
          <w:sz w:val="20"/>
          <w:szCs w:val="20"/>
        </w:rPr>
      </w:pPr>
      <w:r w:rsidRPr="008813F9">
        <w:rPr>
          <w:rFonts w:ascii="Times New Roman" w:hAnsi="Times New Roman"/>
          <w:color w:val="000000" w:themeColor="text1"/>
          <w:sz w:val="20"/>
          <w:szCs w:val="20"/>
          <w:lang w:val="en-US"/>
        </w:rPr>
        <w:t xml:space="preserve">In heavily clustered industrial zones such as Baotou (Inner Mongolia) and Tangshan (Hebei), the capacity gap per substation exceeds 800 MW, driven by the electrification of energy-intensive processes. </w:t>
      </w:r>
      <w:proofErr w:type="spellStart"/>
      <w:r w:rsidRPr="008813F9">
        <w:rPr>
          <w:rFonts w:ascii="Times New Roman" w:hAnsi="Times New Roman"/>
          <w:color w:val="000000" w:themeColor="text1"/>
          <w:sz w:val="20"/>
          <w:szCs w:val="20"/>
        </w:rPr>
        <w:t>Key</w:t>
      </w:r>
      <w:proofErr w:type="spellEnd"/>
      <w:r w:rsidRPr="008813F9">
        <w:rPr>
          <w:rFonts w:ascii="Times New Roman" w:hAnsi="Times New Roman"/>
          <w:color w:val="000000" w:themeColor="text1"/>
          <w:sz w:val="20"/>
          <w:szCs w:val="20"/>
        </w:rPr>
        <w:t xml:space="preserve"> </w:t>
      </w:r>
      <w:proofErr w:type="spellStart"/>
      <w:r w:rsidRPr="008813F9">
        <w:rPr>
          <w:rFonts w:ascii="Times New Roman" w:hAnsi="Times New Roman"/>
          <w:color w:val="000000" w:themeColor="text1"/>
          <w:sz w:val="20"/>
          <w:szCs w:val="20"/>
        </w:rPr>
        <w:t>technologies</w:t>
      </w:r>
      <w:proofErr w:type="spellEnd"/>
      <w:r w:rsidRPr="008813F9">
        <w:rPr>
          <w:rFonts w:ascii="Times New Roman" w:hAnsi="Times New Roman"/>
          <w:color w:val="000000" w:themeColor="text1"/>
          <w:sz w:val="20"/>
          <w:szCs w:val="20"/>
        </w:rPr>
        <w:t xml:space="preserve"> </w:t>
      </w:r>
      <w:proofErr w:type="spellStart"/>
      <w:r w:rsidRPr="008813F9">
        <w:rPr>
          <w:rFonts w:ascii="Times New Roman" w:hAnsi="Times New Roman"/>
          <w:color w:val="000000" w:themeColor="text1"/>
          <w:sz w:val="20"/>
          <w:szCs w:val="20"/>
        </w:rPr>
        <w:t>contributing</w:t>
      </w:r>
      <w:proofErr w:type="spellEnd"/>
      <w:r w:rsidRPr="008813F9">
        <w:rPr>
          <w:rFonts w:ascii="Times New Roman" w:hAnsi="Times New Roman"/>
          <w:color w:val="000000" w:themeColor="text1"/>
          <w:sz w:val="20"/>
          <w:szCs w:val="20"/>
        </w:rPr>
        <w:t xml:space="preserve"> to </w:t>
      </w:r>
      <w:proofErr w:type="spellStart"/>
      <w:r w:rsidRPr="008813F9">
        <w:rPr>
          <w:rFonts w:ascii="Times New Roman" w:hAnsi="Times New Roman"/>
          <w:color w:val="000000" w:themeColor="text1"/>
          <w:sz w:val="20"/>
          <w:szCs w:val="20"/>
        </w:rPr>
        <w:t>these</w:t>
      </w:r>
      <w:proofErr w:type="spellEnd"/>
      <w:r w:rsidRPr="008813F9">
        <w:rPr>
          <w:rFonts w:ascii="Times New Roman" w:hAnsi="Times New Roman"/>
          <w:color w:val="000000" w:themeColor="text1"/>
          <w:sz w:val="20"/>
          <w:szCs w:val="20"/>
        </w:rPr>
        <w:t xml:space="preserve"> </w:t>
      </w:r>
      <w:proofErr w:type="spellStart"/>
      <w:r w:rsidRPr="008813F9">
        <w:rPr>
          <w:rFonts w:ascii="Times New Roman" w:hAnsi="Times New Roman"/>
          <w:color w:val="000000" w:themeColor="text1"/>
          <w:sz w:val="20"/>
          <w:szCs w:val="20"/>
        </w:rPr>
        <w:t>demands</w:t>
      </w:r>
      <w:proofErr w:type="spellEnd"/>
      <w:r w:rsidRPr="008813F9">
        <w:rPr>
          <w:rFonts w:ascii="Times New Roman" w:hAnsi="Times New Roman"/>
          <w:color w:val="000000" w:themeColor="text1"/>
          <w:sz w:val="20"/>
          <w:szCs w:val="20"/>
        </w:rPr>
        <w:t xml:space="preserve"> </w:t>
      </w:r>
      <w:proofErr w:type="spellStart"/>
      <w:r w:rsidRPr="008813F9">
        <w:rPr>
          <w:rFonts w:ascii="Times New Roman" w:hAnsi="Times New Roman"/>
          <w:color w:val="000000" w:themeColor="text1"/>
          <w:sz w:val="20"/>
          <w:szCs w:val="20"/>
        </w:rPr>
        <w:t>include</w:t>
      </w:r>
      <w:proofErr w:type="spellEnd"/>
      <w:r w:rsidRPr="008813F9">
        <w:rPr>
          <w:rFonts w:ascii="Times New Roman" w:hAnsi="Times New Roman"/>
          <w:color w:val="000000" w:themeColor="text1"/>
          <w:sz w:val="20"/>
          <w:szCs w:val="20"/>
        </w:rPr>
        <w:t>:</w:t>
      </w:r>
    </w:p>
    <w:p w14:paraId="4F356EF9" w14:textId="77777777" w:rsidR="008813F9" w:rsidRPr="00CB4540" w:rsidRDefault="008813F9">
      <w:pPr>
        <w:numPr>
          <w:ilvl w:val="0"/>
          <w:numId w:val="20"/>
        </w:numPr>
        <w:spacing w:after="0" w:line="240" w:lineRule="auto"/>
        <w:jc w:val="both"/>
        <w:rPr>
          <w:rFonts w:ascii="Times New Roman" w:hAnsi="Times New Roman"/>
          <w:color w:val="000000" w:themeColor="text1"/>
          <w:sz w:val="20"/>
          <w:szCs w:val="20"/>
          <w:lang w:val="en-US"/>
        </w:rPr>
      </w:pPr>
      <w:r w:rsidRPr="00CB4540">
        <w:rPr>
          <w:rFonts w:ascii="Times New Roman" w:hAnsi="Times New Roman"/>
          <w:b/>
          <w:bCs/>
          <w:color w:val="000000" w:themeColor="text1"/>
          <w:sz w:val="20"/>
          <w:szCs w:val="20"/>
          <w:lang w:val="en-US"/>
        </w:rPr>
        <w:t>Electric Arc Furnaces (EAFs)</w:t>
      </w:r>
      <w:r w:rsidRPr="00CB4540">
        <w:rPr>
          <w:rFonts w:ascii="Times New Roman" w:hAnsi="Times New Roman"/>
          <w:color w:val="000000" w:themeColor="text1"/>
          <w:sz w:val="20"/>
          <w:szCs w:val="20"/>
          <w:lang w:val="en-US"/>
        </w:rPr>
        <w:t xml:space="preserve"> for steelmaking</w:t>
      </w:r>
    </w:p>
    <w:p w14:paraId="4FEF32BA" w14:textId="77777777" w:rsidR="008813F9" w:rsidRPr="00CB4540" w:rsidRDefault="008813F9">
      <w:pPr>
        <w:numPr>
          <w:ilvl w:val="0"/>
          <w:numId w:val="20"/>
        </w:numPr>
        <w:spacing w:after="0" w:line="240" w:lineRule="auto"/>
        <w:jc w:val="both"/>
        <w:rPr>
          <w:rFonts w:ascii="Times New Roman" w:hAnsi="Times New Roman"/>
          <w:color w:val="000000" w:themeColor="text1"/>
          <w:sz w:val="20"/>
          <w:szCs w:val="20"/>
          <w:lang w:val="en-US"/>
        </w:rPr>
      </w:pPr>
      <w:r w:rsidRPr="00CB4540">
        <w:rPr>
          <w:rFonts w:ascii="Times New Roman" w:hAnsi="Times New Roman"/>
          <w:b/>
          <w:bCs/>
          <w:color w:val="000000" w:themeColor="text1"/>
          <w:sz w:val="20"/>
          <w:szCs w:val="20"/>
          <w:lang w:val="en-US"/>
        </w:rPr>
        <w:t>Electric boilers</w:t>
      </w:r>
      <w:r w:rsidRPr="00CB4540">
        <w:rPr>
          <w:rFonts w:ascii="Times New Roman" w:hAnsi="Times New Roman"/>
          <w:color w:val="000000" w:themeColor="text1"/>
          <w:sz w:val="20"/>
          <w:szCs w:val="20"/>
          <w:lang w:val="en-US"/>
        </w:rPr>
        <w:t xml:space="preserve"> substituting high-pressure steam systems in chemicals</w:t>
      </w:r>
    </w:p>
    <w:p w14:paraId="2679F578" w14:textId="77777777" w:rsidR="008813F9" w:rsidRPr="00CB4540" w:rsidRDefault="008813F9">
      <w:pPr>
        <w:numPr>
          <w:ilvl w:val="0"/>
          <w:numId w:val="20"/>
        </w:numPr>
        <w:spacing w:after="0" w:line="240" w:lineRule="auto"/>
        <w:jc w:val="both"/>
        <w:rPr>
          <w:rFonts w:ascii="Times New Roman" w:hAnsi="Times New Roman"/>
          <w:color w:val="000000" w:themeColor="text1"/>
          <w:sz w:val="20"/>
          <w:szCs w:val="20"/>
          <w:lang w:val="en-US"/>
        </w:rPr>
      </w:pPr>
      <w:r w:rsidRPr="00CB4540">
        <w:rPr>
          <w:rFonts w:ascii="Times New Roman" w:hAnsi="Times New Roman"/>
          <w:b/>
          <w:bCs/>
          <w:color w:val="000000" w:themeColor="text1"/>
          <w:sz w:val="20"/>
          <w:szCs w:val="20"/>
          <w:lang w:val="en-US"/>
        </w:rPr>
        <w:t>Electrified kilns</w:t>
      </w:r>
      <w:r w:rsidRPr="00CB4540">
        <w:rPr>
          <w:rFonts w:ascii="Times New Roman" w:hAnsi="Times New Roman"/>
          <w:color w:val="000000" w:themeColor="text1"/>
          <w:sz w:val="20"/>
          <w:szCs w:val="20"/>
          <w:lang w:val="en-US"/>
        </w:rPr>
        <w:t xml:space="preserve"> in cement and materials production</w:t>
      </w:r>
    </w:p>
    <w:p w14:paraId="2FCAC5A6" w14:textId="77777777" w:rsid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As illustrated in Figure 7, the reasons behind grid constraints vary widely, with transmission bottlenecks and substation overloads representing the most significant challenges.</w:t>
      </w:r>
    </w:p>
    <w:p w14:paraId="76E91138" w14:textId="77777777" w:rsidR="00CB4540" w:rsidRDefault="00CB4540" w:rsidP="008813F9">
      <w:pPr>
        <w:spacing w:after="0" w:line="240" w:lineRule="auto"/>
        <w:jc w:val="both"/>
        <w:rPr>
          <w:rFonts w:ascii="Times New Roman" w:hAnsi="Times New Roman"/>
          <w:color w:val="000000" w:themeColor="text1"/>
          <w:sz w:val="20"/>
          <w:szCs w:val="20"/>
          <w:lang w:val="en-US"/>
        </w:rPr>
      </w:pPr>
    </w:p>
    <w:p w14:paraId="110D4EF8" w14:textId="77777777" w:rsidR="008813F9" w:rsidRPr="008813F9" w:rsidRDefault="008813F9" w:rsidP="00CB4540">
      <w:pPr>
        <w:pStyle w:val="NormalnyWeb"/>
        <w:spacing w:before="0" w:beforeAutospacing="0" w:after="0" w:afterAutospacing="0"/>
        <w:jc w:val="center"/>
        <w:rPr>
          <w:rFonts w:ascii="Times New Roman" w:hAnsi="Times New Roman" w:cs="Times New Roman"/>
          <w:color w:val="000000" w:themeColor="text1"/>
          <w:sz w:val="20"/>
          <w:szCs w:val="20"/>
        </w:rPr>
      </w:pPr>
      <w:r w:rsidRPr="008813F9">
        <w:rPr>
          <w:rFonts w:ascii="Times New Roman" w:hAnsi="Times New Roman" w:cs="Times New Roman"/>
          <w:noProof/>
          <w:color w:val="000000" w:themeColor="text1"/>
          <w:sz w:val="20"/>
          <w:szCs w:val="20"/>
        </w:rPr>
        <w:lastRenderedPageBreak/>
        <w:drawing>
          <wp:inline distT="0" distB="0" distL="0" distR="0" wp14:anchorId="04D853E0" wp14:editId="1A5498BB">
            <wp:extent cx="5476875" cy="2657475"/>
            <wp:effectExtent l="0" t="0" r="9525" b="9525"/>
            <wp:docPr id="21" name="Image 21" descr="Bar chart showing number of constrained sites by reason (substation overload, transmission bottlenecks, remote site location, grid access delay) and industrial capacity needs  by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descr="Bar chart showing number of constrained sites by reason (substation overload, transmission bottlenecks, remote site location, grid access delay) and industrial capacity needs  by 2050"/>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5102"/>
                    <a:stretch>
                      <a:fillRect/>
                    </a:stretch>
                  </pic:blipFill>
                  <pic:spPr bwMode="auto">
                    <a:xfrm>
                      <a:off x="0" y="0"/>
                      <a:ext cx="5476875" cy="2657475"/>
                    </a:xfrm>
                    <a:prstGeom prst="rect">
                      <a:avLst/>
                    </a:prstGeom>
                    <a:noFill/>
                    <a:ln>
                      <a:noFill/>
                    </a:ln>
                    <a:extLst>
                      <a:ext uri="{53640926-AAD7-44D8-BBD7-CCE9431645EC}">
                        <a14:shadowObscured xmlns:a14="http://schemas.microsoft.com/office/drawing/2010/main"/>
                      </a:ext>
                    </a:extLst>
                  </pic:spPr>
                </pic:pic>
              </a:graphicData>
            </a:graphic>
          </wp:inline>
        </w:drawing>
      </w:r>
    </w:p>
    <w:p w14:paraId="0EF9E664" w14:textId="152F3459" w:rsidR="00CB4540" w:rsidRDefault="003C0960" w:rsidP="008813F9">
      <w:pPr>
        <w:spacing w:after="0" w:line="240" w:lineRule="auto"/>
        <w:jc w:val="both"/>
        <w:rPr>
          <w:rFonts w:ascii="Times New Roman" w:hAnsi="Times New Roman"/>
          <w:color w:val="000000" w:themeColor="text1"/>
          <w:sz w:val="18"/>
          <w:szCs w:val="18"/>
          <w:lang w:val="en-US"/>
        </w:rPr>
      </w:pPr>
      <w:r w:rsidRPr="00CB4540">
        <w:rPr>
          <w:rFonts w:ascii="Times New Roman" w:hAnsi="Times New Roman"/>
          <w:color w:val="000000" w:themeColor="text1"/>
          <w:sz w:val="18"/>
          <w:szCs w:val="18"/>
          <w:lang w:val="en-US"/>
        </w:rPr>
        <w:t xml:space="preserve">Figure 7. Number of constrained sites by reason and industrial capacity needs </w:t>
      </w:r>
      <w:r w:rsidR="00E71B77">
        <w:rPr>
          <w:rFonts w:ascii="Times New Roman" w:hAnsi="Times New Roman"/>
          <w:color w:val="000000" w:themeColor="text1"/>
          <w:sz w:val="18"/>
          <w:szCs w:val="18"/>
          <w:lang w:val="en-US"/>
        </w:rPr>
        <w:t>(</w:t>
      </w:r>
      <w:r w:rsidRPr="00CB4540">
        <w:rPr>
          <w:rFonts w:ascii="Times New Roman" w:hAnsi="Times New Roman"/>
          <w:color w:val="000000" w:themeColor="text1"/>
          <w:sz w:val="18"/>
          <w:szCs w:val="18"/>
          <w:lang w:val="en-US"/>
        </w:rPr>
        <w:t>2050), source: own elaboration</w:t>
      </w:r>
    </w:p>
    <w:p w14:paraId="793ED379" w14:textId="77777777" w:rsidR="003C0960" w:rsidRDefault="003C0960" w:rsidP="008813F9">
      <w:pPr>
        <w:spacing w:after="0" w:line="240" w:lineRule="auto"/>
        <w:jc w:val="both"/>
        <w:rPr>
          <w:rFonts w:ascii="Times New Roman" w:hAnsi="Times New Roman"/>
          <w:color w:val="000000" w:themeColor="text1"/>
          <w:sz w:val="20"/>
          <w:szCs w:val="20"/>
          <w:lang w:val="en-US"/>
        </w:rPr>
      </w:pPr>
    </w:p>
    <w:p w14:paraId="469B3584" w14:textId="68E0B12C"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This figure categorizes constrained industrial sites based on the primary cause of grid limitation, along with associated capacity deficits:</w:t>
      </w:r>
    </w:p>
    <w:p w14:paraId="4B60F659" w14:textId="77777777" w:rsidR="008813F9" w:rsidRPr="00CB4540" w:rsidRDefault="008813F9">
      <w:pPr>
        <w:numPr>
          <w:ilvl w:val="0"/>
          <w:numId w:val="21"/>
        </w:numPr>
        <w:spacing w:after="0" w:line="240" w:lineRule="auto"/>
        <w:jc w:val="both"/>
        <w:rPr>
          <w:rFonts w:ascii="Times New Roman" w:hAnsi="Times New Roman"/>
          <w:color w:val="000000" w:themeColor="text1"/>
          <w:sz w:val="20"/>
          <w:szCs w:val="20"/>
          <w:lang w:val="en-US"/>
        </w:rPr>
      </w:pPr>
      <w:r w:rsidRPr="00CB4540">
        <w:rPr>
          <w:rFonts w:ascii="Times New Roman" w:hAnsi="Times New Roman"/>
          <w:b/>
          <w:bCs/>
          <w:color w:val="000000" w:themeColor="text1"/>
          <w:sz w:val="20"/>
          <w:szCs w:val="20"/>
          <w:lang w:val="en-US"/>
        </w:rPr>
        <w:t>Substation overload</w:t>
      </w:r>
      <w:r w:rsidRPr="00CB4540">
        <w:rPr>
          <w:rFonts w:ascii="Times New Roman" w:hAnsi="Times New Roman"/>
          <w:color w:val="000000" w:themeColor="text1"/>
          <w:sz w:val="20"/>
          <w:szCs w:val="20"/>
          <w:lang w:val="en-US"/>
        </w:rPr>
        <w:t xml:space="preserve"> affects </w:t>
      </w:r>
      <w:r w:rsidRPr="00CB4540">
        <w:rPr>
          <w:rFonts w:ascii="Times New Roman" w:hAnsi="Times New Roman"/>
          <w:b/>
          <w:bCs/>
          <w:color w:val="000000" w:themeColor="text1"/>
          <w:sz w:val="20"/>
          <w:szCs w:val="20"/>
          <w:lang w:val="en-US"/>
        </w:rPr>
        <w:t>160 sites</w:t>
      </w:r>
      <w:r w:rsidRPr="00CB4540">
        <w:rPr>
          <w:rFonts w:ascii="Times New Roman" w:hAnsi="Times New Roman"/>
          <w:color w:val="000000" w:themeColor="text1"/>
          <w:sz w:val="20"/>
          <w:szCs w:val="20"/>
          <w:lang w:val="en-US"/>
        </w:rPr>
        <w:t>, accounting for localized capacity limitations in dense industrial zones.</w:t>
      </w:r>
    </w:p>
    <w:p w14:paraId="61D795AA" w14:textId="3612C461" w:rsidR="008813F9" w:rsidRPr="00CB4540" w:rsidRDefault="008813F9">
      <w:pPr>
        <w:numPr>
          <w:ilvl w:val="0"/>
          <w:numId w:val="21"/>
        </w:numPr>
        <w:spacing w:after="0" w:line="240" w:lineRule="auto"/>
        <w:jc w:val="both"/>
        <w:rPr>
          <w:rFonts w:ascii="Times New Roman" w:hAnsi="Times New Roman"/>
          <w:color w:val="000000" w:themeColor="text1"/>
          <w:sz w:val="20"/>
          <w:szCs w:val="20"/>
          <w:lang w:val="en-US"/>
        </w:rPr>
      </w:pPr>
      <w:r w:rsidRPr="00CB4540">
        <w:rPr>
          <w:rFonts w:ascii="Times New Roman" w:hAnsi="Times New Roman"/>
          <w:b/>
          <w:bCs/>
          <w:color w:val="000000" w:themeColor="text1"/>
          <w:sz w:val="20"/>
          <w:szCs w:val="20"/>
          <w:lang w:val="en-US"/>
        </w:rPr>
        <w:t>Transmission bottlenecks</w:t>
      </w:r>
      <w:r w:rsidRPr="00CB4540">
        <w:rPr>
          <w:rFonts w:ascii="Times New Roman" w:hAnsi="Times New Roman"/>
          <w:color w:val="000000" w:themeColor="text1"/>
          <w:sz w:val="20"/>
          <w:szCs w:val="20"/>
          <w:lang w:val="en-US"/>
        </w:rPr>
        <w:t xml:space="preserve">, though impacting fewer sites, result in the </w:t>
      </w:r>
      <w:r w:rsidRPr="00CB4540">
        <w:rPr>
          <w:rFonts w:ascii="Times New Roman" w:hAnsi="Times New Roman"/>
          <w:b/>
          <w:bCs/>
          <w:color w:val="000000" w:themeColor="text1"/>
          <w:sz w:val="20"/>
          <w:szCs w:val="20"/>
          <w:lang w:val="en-US"/>
        </w:rPr>
        <w:t>largest capacity shortfall</w:t>
      </w:r>
      <w:r w:rsidR="00CB4540">
        <w:rPr>
          <w:rFonts w:ascii="Times New Roman" w:hAnsi="Times New Roman"/>
          <w:color w:val="000000" w:themeColor="text1"/>
          <w:sz w:val="20"/>
          <w:szCs w:val="20"/>
          <w:lang w:val="en-US"/>
        </w:rPr>
        <w:t xml:space="preserve"> – </w:t>
      </w:r>
      <w:r w:rsidRPr="00CB4540">
        <w:rPr>
          <w:rFonts w:ascii="Times New Roman" w:hAnsi="Times New Roman"/>
          <w:color w:val="000000" w:themeColor="text1"/>
          <w:sz w:val="20"/>
          <w:szCs w:val="20"/>
          <w:lang w:val="en-US"/>
        </w:rPr>
        <w:t xml:space="preserve">nearly </w:t>
      </w:r>
      <w:r w:rsidRPr="00CB4540">
        <w:rPr>
          <w:rFonts w:ascii="Times New Roman" w:hAnsi="Times New Roman"/>
          <w:b/>
          <w:bCs/>
          <w:color w:val="000000" w:themeColor="text1"/>
          <w:sz w:val="20"/>
          <w:szCs w:val="20"/>
          <w:lang w:val="en-US"/>
        </w:rPr>
        <w:t>95 GW</w:t>
      </w:r>
      <w:r w:rsidRPr="00CB4540">
        <w:rPr>
          <w:rFonts w:ascii="Times New Roman" w:hAnsi="Times New Roman"/>
          <w:color w:val="000000" w:themeColor="text1"/>
          <w:sz w:val="20"/>
          <w:szCs w:val="20"/>
          <w:lang w:val="en-US"/>
        </w:rPr>
        <w:t>, particularly in bulk energy-consuming sectors.</w:t>
      </w:r>
    </w:p>
    <w:p w14:paraId="269572BA" w14:textId="77777777" w:rsidR="008813F9" w:rsidRPr="00CB4540" w:rsidRDefault="008813F9">
      <w:pPr>
        <w:numPr>
          <w:ilvl w:val="0"/>
          <w:numId w:val="21"/>
        </w:numPr>
        <w:spacing w:after="0" w:line="240" w:lineRule="auto"/>
        <w:jc w:val="both"/>
        <w:rPr>
          <w:rFonts w:ascii="Times New Roman" w:hAnsi="Times New Roman"/>
          <w:color w:val="000000" w:themeColor="text1"/>
          <w:sz w:val="20"/>
          <w:szCs w:val="20"/>
          <w:lang w:val="en-US"/>
        </w:rPr>
      </w:pPr>
      <w:r w:rsidRPr="00CB4540">
        <w:rPr>
          <w:rFonts w:ascii="Times New Roman" w:hAnsi="Times New Roman"/>
          <w:b/>
          <w:bCs/>
          <w:color w:val="000000" w:themeColor="text1"/>
          <w:sz w:val="20"/>
          <w:szCs w:val="20"/>
          <w:lang w:val="en-US"/>
        </w:rPr>
        <w:t>Remote site location</w:t>
      </w:r>
      <w:r w:rsidRPr="00CB4540">
        <w:rPr>
          <w:rFonts w:ascii="Times New Roman" w:hAnsi="Times New Roman"/>
          <w:color w:val="000000" w:themeColor="text1"/>
          <w:sz w:val="20"/>
          <w:szCs w:val="20"/>
          <w:lang w:val="en-US"/>
        </w:rPr>
        <w:t xml:space="preserve"> is responsible for </w:t>
      </w:r>
      <w:r w:rsidRPr="00CB4540">
        <w:rPr>
          <w:rFonts w:ascii="Times New Roman" w:hAnsi="Times New Roman"/>
          <w:b/>
          <w:bCs/>
          <w:color w:val="000000" w:themeColor="text1"/>
          <w:sz w:val="20"/>
          <w:szCs w:val="20"/>
          <w:lang w:val="en-US"/>
        </w:rPr>
        <w:t>72 constraints</w:t>
      </w:r>
      <w:r w:rsidRPr="00CB4540">
        <w:rPr>
          <w:rFonts w:ascii="Times New Roman" w:hAnsi="Times New Roman"/>
          <w:color w:val="000000" w:themeColor="text1"/>
          <w:sz w:val="20"/>
          <w:szCs w:val="20"/>
          <w:lang w:val="en-US"/>
        </w:rPr>
        <w:t>, where distance from grid infrastructure hinders electrification.</w:t>
      </w:r>
    </w:p>
    <w:p w14:paraId="4E5F067D" w14:textId="77777777" w:rsidR="008813F9" w:rsidRPr="00CB4540" w:rsidRDefault="008813F9">
      <w:pPr>
        <w:numPr>
          <w:ilvl w:val="0"/>
          <w:numId w:val="21"/>
        </w:numPr>
        <w:spacing w:after="0" w:line="240" w:lineRule="auto"/>
        <w:jc w:val="both"/>
        <w:rPr>
          <w:rFonts w:ascii="Times New Roman" w:hAnsi="Times New Roman"/>
          <w:color w:val="000000" w:themeColor="text1"/>
          <w:sz w:val="20"/>
          <w:szCs w:val="20"/>
          <w:lang w:val="en-US"/>
        </w:rPr>
      </w:pPr>
      <w:r w:rsidRPr="00CB4540">
        <w:rPr>
          <w:rFonts w:ascii="Times New Roman" w:hAnsi="Times New Roman"/>
          <w:b/>
          <w:bCs/>
          <w:color w:val="000000" w:themeColor="text1"/>
          <w:sz w:val="20"/>
          <w:szCs w:val="20"/>
          <w:lang w:val="en-US"/>
        </w:rPr>
        <w:t>Grid access delays</w:t>
      </w:r>
      <w:r w:rsidRPr="00CB4540">
        <w:rPr>
          <w:rFonts w:ascii="Times New Roman" w:hAnsi="Times New Roman"/>
          <w:color w:val="000000" w:themeColor="text1"/>
          <w:sz w:val="20"/>
          <w:szCs w:val="20"/>
          <w:lang w:val="en-US"/>
        </w:rPr>
        <w:t xml:space="preserve"> typically affect newly developed industrial parks awaiting integration.</w:t>
      </w:r>
    </w:p>
    <w:p w14:paraId="2E88B6BD"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The most strategic return on infrastructure investment lies in addressing transmission-scale constraints, followed by substation modernization in high-density zones.</w:t>
      </w:r>
    </w:p>
    <w:p w14:paraId="4DD73585" w14:textId="77777777" w:rsid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This distribution is further detailed in Table 1, which summarizes constrained site counts and capacity shortfalls across key provinces.</w:t>
      </w:r>
    </w:p>
    <w:p w14:paraId="21085BB2" w14:textId="77777777" w:rsidR="00CB4540" w:rsidRPr="008813F9" w:rsidRDefault="00CB4540" w:rsidP="008813F9">
      <w:pPr>
        <w:spacing w:after="0" w:line="240" w:lineRule="auto"/>
        <w:jc w:val="both"/>
        <w:rPr>
          <w:rFonts w:ascii="Times New Roman" w:hAnsi="Times New Roman"/>
          <w:color w:val="000000" w:themeColor="text1"/>
          <w:sz w:val="20"/>
          <w:szCs w:val="20"/>
          <w:lang w:val="en-US"/>
        </w:rPr>
      </w:pPr>
    </w:p>
    <w:p w14:paraId="542D0662" w14:textId="77777777" w:rsidR="008813F9" w:rsidRPr="00CB4540" w:rsidRDefault="008813F9" w:rsidP="008813F9">
      <w:pPr>
        <w:spacing w:after="0" w:line="240" w:lineRule="auto"/>
        <w:jc w:val="both"/>
        <w:rPr>
          <w:rFonts w:ascii="Times New Roman" w:hAnsi="Times New Roman"/>
          <w:color w:val="000000" w:themeColor="text1"/>
          <w:sz w:val="18"/>
          <w:szCs w:val="18"/>
          <w:lang w:val="en-US"/>
        </w:rPr>
      </w:pPr>
      <w:r w:rsidRPr="00CB4540">
        <w:rPr>
          <w:rFonts w:ascii="Times New Roman" w:hAnsi="Times New Roman"/>
          <w:color w:val="000000" w:themeColor="text1"/>
          <w:sz w:val="18"/>
          <w:szCs w:val="18"/>
          <w:lang w:val="en-US"/>
        </w:rPr>
        <w:t>Table 1. Summary of Constrained Point-Source Sites and Additional Capacity Needs by Region (2050)</w:t>
      </w:r>
    </w:p>
    <w:tbl>
      <w:tblPr>
        <w:tblStyle w:val="Tabela-Siatka"/>
        <w:tblW w:w="9060" w:type="dxa"/>
        <w:tblLook w:val="04A0" w:firstRow="1" w:lastRow="0" w:firstColumn="1" w:lastColumn="0" w:noHBand="0" w:noVBand="1"/>
      </w:tblPr>
      <w:tblGrid>
        <w:gridCol w:w="2265"/>
        <w:gridCol w:w="2265"/>
        <w:gridCol w:w="2265"/>
        <w:gridCol w:w="2265"/>
      </w:tblGrid>
      <w:tr w:rsidR="00CB4540" w:rsidRPr="00CB4540" w14:paraId="6390B4A7" w14:textId="77777777" w:rsidTr="00CB4540">
        <w:tc>
          <w:tcPr>
            <w:tcW w:w="2265" w:type="dxa"/>
            <w:vAlign w:val="center"/>
          </w:tcPr>
          <w:p w14:paraId="0A8DB4F1" w14:textId="44EC2970" w:rsidR="00CB4540" w:rsidRPr="00CB4540" w:rsidRDefault="00CB4540" w:rsidP="00CB4540">
            <w:pPr>
              <w:spacing w:after="0" w:line="240" w:lineRule="auto"/>
              <w:jc w:val="both"/>
              <w:rPr>
                <w:rFonts w:ascii="Times New Roman" w:hAnsi="Times New Roman"/>
                <w:color w:val="000000" w:themeColor="text1"/>
                <w:sz w:val="18"/>
                <w:szCs w:val="18"/>
                <w:lang w:val="en-US"/>
              </w:rPr>
            </w:pPr>
            <w:r w:rsidRPr="00CB4540">
              <w:rPr>
                <w:rFonts w:ascii="Times New Roman" w:hAnsi="Times New Roman"/>
                <w:b/>
                <w:bCs/>
                <w:color w:val="000000" w:themeColor="text1"/>
                <w:sz w:val="18"/>
                <w:szCs w:val="18"/>
              </w:rPr>
              <w:t>Region</w:t>
            </w:r>
          </w:p>
        </w:tc>
        <w:tc>
          <w:tcPr>
            <w:tcW w:w="2265" w:type="dxa"/>
            <w:vAlign w:val="center"/>
          </w:tcPr>
          <w:p w14:paraId="7CD1941C" w14:textId="77777777" w:rsidR="00CB4540" w:rsidRDefault="00CB4540" w:rsidP="00CB4540">
            <w:pPr>
              <w:spacing w:after="0" w:line="240" w:lineRule="auto"/>
              <w:jc w:val="center"/>
              <w:rPr>
                <w:rFonts w:ascii="Times New Roman" w:hAnsi="Times New Roman"/>
                <w:b/>
                <w:bCs/>
                <w:color w:val="000000" w:themeColor="text1"/>
                <w:sz w:val="18"/>
                <w:szCs w:val="18"/>
              </w:rPr>
            </w:pPr>
            <w:r w:rsidRPr="00CB4540">
              <w:rPr>
                <w:rFonts w:ascii="Times New Roman" w:hAnsi="Times New Roman"/>
                <w:b/>
                <w:bCs/>
                <w:color w:val="000000" w:themeColor="text1"/>
                <w:sz w:val="18"/>
                <w:szCs w:val="18"/>
              </w:rPr>
              <w:t xml:space="preserve"># </w:t>
            </w:r>
          </w:p>
          <w:p w14:paraId="79634A14" w14:textId="3D86F0D3" w:rsidR="00CB4540" w:rsidRPr="00CB4540" w:rsidRDefault="00CB4540" w:rsidP="00CB4540">
            <w:pPr>
              <w:spacing w:after="0" w:line="240" w:lineRule="auto"/>
              <w:jc w:val="center"/>
              <w:rPr>
                <w:rFonts w:ascii="Times New Roman" w:hAnsi="Times New Roman"/>
                <w:color w:val="000000" w:themeColor="text1"/>
                <w:sz w:val="18"/>
                <w:szCs w:val="18"/>
                <w:lang w:val="en-US"/>
              </w:rPr>
            </w:pPr>
            <w:proofErr w:type="spellStart"/>
            <w:r w:rsidRPr="00CB4540">
              <w:rPr>
                <w:rFonts w:ascii="Times New Roman" w:hAnsi="Times New Roman"/>
                <w:b/>
                <w:bCs/>
                <w:color w:val="000000" w:themeColor="text1"/>
                <w:sz w:val="18"/>
                <w:szCs w:val="18"/>
              </w:rPr>
              <w:t>Constrained</w:t>
            </w:r>
            <w:proofErr w:type="spellEnd"/>
            <w:r w:rsidRPr="00CB4540">
              <w:rPr>
                <w:rFonts w:ascii="Times New Roman" w:hAnsi="Times New Roman"/>
                <w:b/>
                <w:bCs/>
                <w:color w:val="000000" w:themeColor="text1"/>
                <w:sz w:val="18"/>
                <w:szCs w:val="18"/>
              </w:rPr>
              <w:t xml:space="preserve"> </w:t>
            </w:r>
            <w:proofErr w:type="spellStart"/>
            <w:r w:rsidRPr="00CB4540">
              <w:rPr>
                <w:rFonts w:ascii="Times New Roman" w:hAnsi="Times New Roman"/>
                <w:b/>
                <w:bCs/>
                <w:color w:val="000000" w:themeColor="text1"/>
                <w:sz w:val="18"/>
                <w:szCs w:val="18"/>
              </w:rPr>
              <w:t>Sites</w:t>
            </w:r>
            <w:proofErr w:type="spellEnd"/>
          </w:p>
        </w:tc>
        <w:tc>
          <w:tcPr>
            <w:tcW w:w="2265" w:type="dxa"/>
            <w:vAlign w:val="center"/>
          </w:tcPr>
          <w:p w14:paraId="711DDADF" w14:textId="6B206683" w:rsidR="00CB4540" w:rsidRPr="00CB4540" w:rsidRDefault="00CB4540" w:rsidP="00CB4540">
            <w:pPr>
              <w:spacing w:after="0" w:line="240" w:lineRule="auto"/>
              <w:jc w:val="center"/>
              <w:rPr>
                <w:rFonts w:ascii="Times New Roman" w:hAnsi="Times New Roman"/>
                <w:color w:val="000000" w:themeColor="text1"/>
                <w:sz w:val="18"/>
                <w:szCs w:val="18"/>
                <w:lang w:val="en-US"/>
              </w:rPr>
            </w:pPr>
            <w:proofErr w:type="spellStart"/>
            <w:r w:rsidRPr="00CB4540">
              <w:rPr>
                <w:rFonts w:ascii="Times New Roman" w:hAnsi="Times New Roman"/>
                <w:b/>
                <w:bCs/>
                <w:color w:val="000000" w:themeColor="text1"/>
                <w:sz w:val="18"/>
                <w:szCs w:val="18"/>
              </w:rPr>
              <w:t>Avg</w:t>
            </w:r>
            <w:proofErr w:type="spellEnd"/>
            <w:r w:rsidRPr="00CB4540">
              <w:rPr>
                <w:rFonts w:ascii="Times New Roman" w:hAnsi="Times New Roman"/>
                <w:b/>
                <w:bCs/>
                <w:color w:val="000000" w:themeColor="text1"/>
                <w:sz w:val="18"/>
                <w:szCs w:val="18"/>
              </w:rPr>
              <w:t xml:space="preserve">. </w:t>
            </w:r>
            <w:proofErr w:type="spellStart"/>
            <w:r w:rsidRPr="00CB4540">
              <w:rPr>
                <w:rFonts w:ascii="Times New Roman" w:hAnsi="Times New Roman"/>
                <w:b/>
                <w:bCs/>
                <w:color w:val="000000" w:themeColor="text1"/>
                <w:sz w:val="18"/>
                <w:szCs w:val="18"/>
              </w:rPr>
              <w:t>Capacity</w:t>
            </w:r>
            <w:proofErr w:type="spellEnd"/>
            <w:r w:rsidRPr="00CB4540">
              <w:rPr>
                <w:rFonts w:ascii="Times New Roman" w:hAnsi="Times New Roman"/>
                <w:b/>
                <w:bCs/>
                <w:color w:val="000000" w:themeColor="text1"/>
                <w:sz w:val="18"/>
                <w:szCs w:val="18"/>
              </w:rPr>
              <w:t xml:space="preserve"> </w:t>
            </w:r>
            <w:proofErr w:type="spellStart"/>
            <w:r w:rsidRPr="00CB4540">
              <w:rPr>
                <w:rFonts w:ascii="Times New Roman" w:hAnsi="Times New Roman"/>
                <w:b/>
                <w:bCs/>
                <w:color w:val="000000" w:themeColor="text1"/>
                <w:sz w:val="18"/>
                <w:szCs w:val="18"/>
              </w:rPr>
              <w:t>Shortfall</w:t>
            </w:r>
            <w:proofErr w:type="spellEnd"/>
            <w:r w:rsidRPr="00CB4540">
              <w:rPr>
                <w:rFonts w:ascii="Times New Roman" w:hAnsi="Times New Roman"/>
                <w:b/>
                <w:bCs/>
                <w:color w:val="000000" w:themeColor="text1"/>
                <w:sz w:val="18"/>
                <w:szCs w:val="18"/>
              </w:rPr>
              <w:t xml:space="preserve"> (MW)</w:t>
            </w:r>
          </w:p>
        </w:tc>
        <w:tc>
          <w:tcPr>
            <w:tcW w:w="2265" w:type="dxa"/>
            <w:vAlign w:val="center"/>
          </w:tcPr>
          <w:p w14:paraId="216295B9" w14:textId="5509A454" w:rsidR="00CB4540" w:rsidRPr="00CB4540" w:rsidRDefault="00CB4540" w:rsidP="00CB4540">
            <w:pPr>
              <w:spacing w:after="0" w:line="240" w:lineRule="auto"/>
              <w:jc w:val="center"/>
              <w:rPr>
                <w:rFonts w:ascii="Times New Roman" w:hAnsi="Times New Roman"/>
                <w:color w:val="000000" w:themeColor="text1"/>
                <w:sz w:val="18"/>
                <w:szCs w:val="18"/>
                <w:lang w:val="en-US"/>
              </w:rPr>
            </w:pPr>
            <w:r w:rsidRPr="00CB4540">
              <w:rPr>
                <w:rFonts w:ascii="Times New Roman" w:hAnsi="Times New Roman"/>
                <w:b/>
                <w:bCs/>
                <w:color w:val="000000" w:themeColor="text1"/>
                <w:sz w:val="18"/>
                <w:szCs w:val="18"/>
              </w:rPr>
              <w:t xml:space="preserve">Total </w:t>
            </w:r>
            <w:proofErr w:type="spellStart"/>
            <w:r w:rsidRPr="00CB4540">
              <w:rPr>
                <w:rFonts w:ascii="Times New Roman" w:hAnsi="Times New Roman"/>
                <w:b/>
                <w:bCs/>
                <w:color w:val="000000" w:themeColor="text1"/>
                <w:sz w:val="18"/>
                <w:szCs w:val="18"/>
              </w:rPr>
              <w:t>Needed</w:t>
            </w:r>
            <w:proofErr w:type="spellEnd"/>
            <w:r w:rsidRPr="00CB4540">
              <w:rPr>
                <w:rFonts w:ascii="Times New Roman" w:hAnsi="Times New Roman"/>
                <w:b/>
                <w:bCs/>
                <w:color w:val="000000" w:themeColor="text1"/>
                <w:sz w:val="18"/>
                <w:szCs w:val="18"/>
              </w:rPr>
              <w:t xml:space="preserve"> </w:t>
            </w:r>
            <w:proofErr w:type="spellStart"/>
            <w:r w:rsidRPr="00CB4540">
              <w:rPr>
                <w:rFonts w:ascii="Times New Roman" w:hAnsi="Times New Roman"/>
                <w:b/>
                <w:bCs/>
                <w:color w:val="000000" w:themeColor="text1"/>
                <w:sz w:val="18"/>
                <w:szCs w:val="18"/>
              </w:rPr>
              <w:t>Capacity</w:t>
            </w:r>
            <w:proofErr w:type="spellEnd"/>
            <w:r w:rsidRPr="00CB4540">
              <w:rPr>
                <w:rFonts w:ascii="Times New Roman" w:hAnsi="Times New Roman"/>
                <w:b/>
                <w:bCs/>
                <w:color w:val="000000" w:themeColor="text1"/>
                <w:sz w:val="18"/>
                <w:szCs w:val="18"/>
              </w:rPr>
              <w:t xml:space="preserve"> (GW)</w:t>
            </w:r>
          </w:p>
        </w:tc>
      </w:tr>
      <w:tr w:rsidR="00CB4540" w:rsidRPr="00CB4540" w14:paraId="7CB231D5" w14:textId="77777777" w:rsidTr="00CB4540">
        <w:tc>
          <w:tcPr>
            <w:tcW w:w="2265" w:type="dxa"/>
            <w:vAlign w:val="center"/>
          </w:tcPr>
          <w:p w14:paraId="25DE1ADD" w14:textId="6DF2045A" w:rsidR="00CB4540" w:rsidRPr="00CB4540" w:rsidRDefault="00CB4540" w:rsidP="00CB4540">
            <w:pPr>
              <w:spacing w:after="0" w:line="240" w:lineRule="auto"/>
              <w:jc w:val="both"/>
              <w:rPr>
                <w:rFonts w:ascii="Times New Roman" w:hAnsi="Times New Roman"/>
                <w:color w:val="000000" w:themeColor="text1"/>
                <w:sz w:val="18"/>
                <w:szCs w:val="18"/>
                <w:lang w:val="en-US"/>
              </w:rPr>
            </w:pPr>
            <w:r w:rsidRPr="00CB4540">
              <w:rPr>
                <w:rFonts w:ascii="Times New Roman" w:hAnsi="Times New Roman"/>
                <w:color w:val="000000" w:themeColor="text1"/>
                <w:sz w:val="18"/>
                <w:szCs w:val="18"/>
              </w:rPr>
              <w:t>Inner Mongolia</w:t>
            </w:r>
          </w:p>
        </w:tc>
        <w:tc>
          <w:tcPr>
            <w:tcW w:w="2265" w:type="dxa"/>
            <w:vAlign w:val="center"/>
          </w:tcPr>
          <w:p w14:paraId="54B95B4A" w14:textId="789DE8BA" w:rsidR="00CB4540" w:rsidRPr="00CB4540" w:rsidRDefault="00CB4540" w:rsidP="00CB4540">
            <w:pPr>
              <w:spacing w:after="0" w:line="240" w:lineRule="auto"/>
              <w:jc w:val="center"/>
              <w:rPr>
                <w:rFonts w:ascii="Times New Roman" w:hAnsi="Times New Roman"/>
                <w:color w:val="000000" w:themeColor="text1"/>
                <w:sz w:val="18"/>
                <w:szCs w:val="18"/>
                <w:lang w:val="en-US"/>
              </w:rPr>
            </w:pPr>
            <w:r w:rsidRPr="00CB4540">
              <w:rPr>
                <w:rFonts w:ascii="Times New Roman" w:hAnsi="Times New Roman"/>
                <w:color w:val="000000" w:themeColor="text1"/>
                <w:sz w:val="18"/>
                <w:szCs w:val="18"/>
              </w:rPr>
              <w:t>124</w:t>
            </w:r>
          </w:p>
        </w:tc>
        <w:tc>
          <w:tcPr>
            <w:tcW w:w="2265" w:type="dxa"/>
            <w:vAlign w:val="center"/>
          </w:tcPr>
          <w:p w14:paraId="65EFF8E7" w14:textId="5CF62779" w:rsidR="00CB4540" w:rsidRPr="00CB4540" w:rsidRDefault="00CB4540" w:rsidP="00CB4540">
            <w:pPr>
              <w:spacing w:after="0" w:line="240" w:lineRule="auto"/>
              <w:jc w:val="center"/>
              <w:rPr>
                <w:rFonts w:ascii="Times New Roman" w:hAnsi="Times New Roman"/>
                <w:color w:val="000000" w:themeColor="text1"/>
                <w:sz w:val="18"/>
                <w:szCs w:val="18"/>
                <w:lang w:val="en-US"/>
              </w:rPr>
            </w:pPr>
            <w:r w:rsidRPr="00CB4540">
              <w:rPr>
                <w:rFonts w:ascii="Times New Roman" w:hAnsi="Times New Roman"/>
                <w:color w:val="000000" w:themeColor="text1"/>
                <w:sz w:val="18"/>
                <w:szCs w:val="18"/>
              </w:rPr>
              <w:t>135</w:t>
            </w:r>
          </w:p>
        </w:tc>
        <w:tc>
          <w:tcPr>
            <w:tcW w:w="2265" w:type="dxa"/>
            <w:vAlign w:val="center"/>
          </w:tcPr>
          <w:p w14:paraId="422C99A6" w14:textId="6A552931" w:rsidR="00CB4540" w:rsidRPr="00CB4540" w:rsidRDefault="00CB4540" w:rsidP="00CB4540">
            <w:pPr>
              <w:spacing w:after="0" w:line="240" w:lineRule="auto"/>
              <w:jc w:val="center"/>
              <w:rPr>
                <w:rFonts w:ascii="Times New Roman" w:hAnsi="Times New Roman"/>
                <w:color w:val="000000" w:themeColor="text1"/>
                <w:sz w:val="18"/>
                <w:szCs w:val="18"/>
                <w:lang w:val="en-US"/>
              </w:rPr>
            </w:pPr>
            <w:r w:rsidRPr="00CB4540">
              <w:rPr>
                <w:rFonts w:ascii="Times New Roman" w:hAnsi="Times New Roman"/>
                <w:color w:val="000000" w:themeColor="text1"/>
                <w:sz w:val="18"/>
                <w:szCs w:val="18"/>
              </w:rPr>
              <w:t>16.7</w:t>
            </w:r>
          </w:p>
        </w:tc>
      </w:tr>
      <w:tr w:rsidR="00CB4540" w:rsidRPr="00CB4540" w14:paraId="75333C0F" w14:textId="77777777" w:rsidTr="00CB4540">
        <w:tc>
          <w:tcPr>
            <w:tcW w:w="2265" w:type="dxa"/>
            <w:vAlign w:val="center"/>
          </w:tcPr>
          <w:p w14:paraId="19003FC4" w14:textId="601A2DA4" w:rsidR="00CB4540" w:rsidRPr="00CB4540" w:rsidRDefault="00CB4540" w:rsidP="00CB4540">
            <w:pPr>
              <w:spacing w:after="0" w:line="240" w:lineRule="auto"/>
              <w:jc w:val="both"/>
              <w:rPr>
                <w:rFonts w:ascii="Times New Roman" w:hAnsi="Times New Roman"/>
                <w:color w:val="000000" w:themeColor="text1"/>
                <w:sz w:val="18"/>
                <w:szCs w:val="18"/>
                <w:lang w:val="en-US"/>
              </w:rPr>
            </w:pPr>
            <w:r w:rsidRPr="00CB4540">
              <w:rPr>
                <w:rFonts w:ascii="Times New Roman" w:hAnsi="Times New Roman"/>
                <w:color w:val="000000" w:themeColor="text1"/>
                <w:sz w:val="18"/>
                <w:szCs w:val="18"/>
              </w:rPr>
              <w:t>Hebei</w:t>
            </w:r>
          </w:p>
        </w:tc>
        <w:tc>
          <w:tcPr>
            <w:tcW w:w="2265" w:type="dxa"/>
            <w:vAlign w:val="center"/>
          </w:tcPr>
          <w:p w14:paraId="399AF528" w14:textId="6755DB8B" w:rsidR="00CB4540" w:rsidRPr="00CB4540" w:rsidRDefault="00CB4540" w:rsidP="00CB4540">
            <w:pPr>
              <w:spacing w:after="0" w:line="240" w:lineRule="auto"/>
              <w:jc w:val="center"/>
              <w:rPr>
                <w:rFonts w:ascii="Times New Roman" w:hAnsi="Times New Roman"/>
                <w:color w:val="000000" w:themeColor="text1"/>
                <w:sz w:val="18"/>
                <w:szCs w:val="18"/>
                <w:lang w:val="en-US"/>
              </w:rPr>
            </w:pPr>
            <w:r w:rsidRPr="00CB4540">
              <w:rPr>
                <w:rFonts w:ascii="Times New Roman" w:hAnsi="Times New Roman"/>
                <w:color w:val="000000" w:themeColor="text1"/>
                <w:sz w:val="18"/>
                <w:szCs w:val="18"/>
              </w:rPr>
              <w:t>103</w:t>
            </w:r>
          </w:p>
        </w:tc>
        <w:tc>
          <w:tcPr>
            <w:tcW w:w="2265" w:type="dxa"/>
            <w:vAlign w:val="center"/>
          </w:tcPr>
          <w:p w14:paraId="08BBC6CB" w14:textId="63D46412" w:rsidR="00CB4540" w:rsidRPr="00CB4540" w:rsidRDefault="00CB4540" w:rsidP="00CB4540">
            <w:pPr>
              <w:spacing w:after="0" w:line="240" w:lineRule="auto"/>
              <w:jc w:val="center"/>
              <w:rPr>
                <w:rFonts w:ascii="Times New Roman" w:hAnsi="Times New Roman"/>
                <w:color w:val="000000" w:themeColor="text1"/>
                <w:sz w:val="18"/>
                <w:szCs w:val="18"/>
                <w:lang w:val="en-US"/>
              </w:rPr>
            </w:pPr>
            <w:r w:rsidRPr="00CB4540">
              <w:rPr>
                <w:rFonts w:ascii="Times New Roman" w:hAnsi="Times New Roman"/>
                <w:color w:val="000000" w:themeColor="text1"/>
                <w:sz w:val="18"/>
                <w:szCs w:val="18"/>
              </w:rPr>
              <w:t>123</w:t>
            </w:r>
          </w:p>
        </w:tc>
        <w:tc>
          <w:tcPr>
            <w:tcW w:w="2265" w:type="dxa"/>
            <w:vAlign w:val="center"/>
          </w:tcPr>
          <w:p w14:paraId="26C60342" w14:textId="660FFB0D" w:rsidR="00CB4540" w:rsidRPr="00CB4540" w:rsidRDefault="00CB4540" w:rsidP="00CB4540">
            <w:pPr>
              <w:spacing w:after="0" w:line="240" w:lineRule="auto"/>
              <w:jc w:val="center"/>
              <w:rPr>
                <w:rFonts w:ascii="Times New Roman" w:hAnsi="Times New Roman"/>
                <w:color w:val="000000" w:themeColor="text1"/>
                <w:sz w:val="18"/>
                <w:szCs w:val="18"/>
                <w:lang w:val="en-US"/>
              </w:rPr>
            </w:pPr>
            <w:r w:rsidRPr="00CB4540">
              <w:rPr>
                <w:rFonts w:ascii="Times New Roman" w:hAnsi="Times New Roman"/>
                <w:color w:val="000000" w:themeColor="text1"/>
                <w:sz w:val="18"/>
                <w:szCs w:val="18"/>
              </w:rPr>
              <w:t>12.7</w:t>
            </w:r>
          </w:p>
        </w:tc>
      </w:tr>
      <w:tr w:rsidR="00CB4540" w:rsidRPr="00CB4540" w14:paraId="1126217A" w14:textId="77777777" w:rsidTr="00CB4540">
        <w:tc>
          <w:tcPr>
            <w:tcW w:w="2265" w:type="dxa"/>
            <w:vAlign w:val="center"/>
          </w:tcPr>
          <w:p w14:paraId="2F0A002C" w14:textId="0E1F0CE0" w:rsidR="00CB4540" w:rsidRPr="00CB4540" w:rsidRDefault="00CB4540" w:rsidP="00CB4540">
            <w:pPr>
              <w:spacing w:after="0" w:line="240" w:lineRule="auto"/>
              <w:jc w:val="both"/>
              <w:rPr>
                <w:rFonts w:ascii="Times New Roman" w:hAnsi="Times New Roman"/>
                <w:color w:val="000000" w:themeColor="text1"/>
                <w:sz w:val="18"/>
                <w:szCs w:val="18"/>
                <w:lang w:val="en-US"/>
              </w:rPr>
            </w:pPr>
            <w:proofErr w:type="spellStart"/>
            <w:r w:rsidRPr="00CB4540">
              <w:rPr>
                <w:rFonts w:ascii="Times New Roman" w:hAnsi="Times New Roman"/>
                <w:color w:val="000000" w:themeColor="text1"/>
                <w:sz w:val="18"/>
                <w:szCs w:val="18"/>
              </w:rPr>
              <w:t>Sichuan</w:t>
            </w:r>
            <w:proofErr w:type="spellEnd"/>
          </w:p>
        </w:tc>
        <w:tc>
          <w:tcPr>
            <w:tcW w:w="2265" w:type="dxa"/>
            <w:vAlign w:val="center"/>
          </w:tcPr>
          <w:p w14:paraId="2DB55ABF" w14:textId="583D971C" w:rsidR="00CB4540" w:rsidRPr="00CB4540" w:rsidRDefault="00CB4540" w:rsidP="00CB4540">
            <w:pPr>
              <w:spacing w:after="0" w:line="240" w:lineRule="auto"/>
              <w:jc w:val="center"/>
              <w:rPr>
                <w:rFonts w:ascii="Times New Roman" w:hAnsi="Times New Roman"/>
                <w:color w:val="000000" w:themeColor="text1"/>
                <w:sz w:val="18"/>
                <w:szCs w:val="18"/>
                <w:lang w:val="en-US"/>
              </w:rPr>
            </w:pPr>
            <w:r w:rsidRPr="00CB4540">
              <w:rPr>
                <w:rFonts w:ascii="Times New Roman" w:hAnsi="Times New Roman"/>
                <w:color w:val="000000" w:themeColor="text1"/>
                <w:sz w:val="18"/>
                <w:szCs w:val="18"/>
              </w:rPr>
              <w:t>89</w:t>
            </w:r>
          </w:p>
        </w:tc>
        <w:tc>
          <w:tcPr>
            <w:tcW w:w="2265" w:type="dxa"/>
            <w:vAlign w:val="center"/>
          </w:tcPr>
          <w:p w14:paraId="21672529" w14:textId="4DDAEDAE" w:rsidR="00CB4540" w:rsidRPr="00CB4540" w:rsidRDefault="00CB4540" w:rsidP="00CB4540">
            <w:pPr>
              <w:spacing w:after="0" w:line="240" w:lineRule="auto"/>
              <w:jc w:val="center"/>
              <w:rPr>
                <w:rFonts w:ascii="Times New Roman" w:hAnsi="Times New Roman"/>
                <w:color w:val="000000" w:themeColor="text1"/>
                <w:sz w:val="18"/>
                <w:szCs w:val="18"/>
                <w:lang w:val="en-US"/>
              </w:rPr>
            </w:pPr>
            <w:r w:rsidRPr="00CB4540">
              <w:rPr>
                <w:rFonts w:ascii="Times New Roman" w:hAnsi="Times New Roman"/>
                <w:color w:val="000000" w:themeColor="text1"/>
                <w:sz w:val="18"/>
                <w:szCs w:val="18"/>
              </w:rPr>
              <w:t>108</w:t>
            </w:r>
          </w:p>
        </w:tc>
        <w:tc>
          <w:tcPr>
            <w:tcW w:w="2265" w:type="dxa"/>
            <w:vAlign w:val="center"/>
          </w:tcPr>
          <w:p w14:paraId="0D094C39" w14:textId="62DD0440" w:rsidR="00CB4540" w:rsidRPr="00CB4540" w:rsidRDefault="00CB4540" w:rsidP="00CB4540">
            <w:pPr>
              <w:spacing w:after="0" w:line="240" w:lineRule="auto"/>
              <w:jc w:val="center"/>
              <w:rPr>
                <w:rFonts w:ascii="Times New Roman" w:hAnsi="Times New Roman"/>
                <w:color w:val="000000" w:themeColor="text1"/>
                <w:sz w:val="18"/>
                <w:szCs w:val="18"/>
                <w:lang w:val="en-US"/>
              </w:rPr>
            </w:pPr>
            <w:r w:rsidRPr="00CB4540">
              <w:rPr>
                <w:rFonts w:ascii="Times New Roman" w:hAnsi="Times New Roman"/>
                <w:color w:val="000000" w:themeColor="text1"/>
                <w:sz w:val="18"/>
                <w:szCs w:val="18"/>
              </w:rPr>
              <w:t>9.6</w:t>
            </w:r>
          </w:p>
        </w:tc>
      </w:tr>
      <w:tr w:rsidR="00CB4540" w:rsidRPr="00CB4540" w14:paraId="14D14C9A" w14:textId="77777777" w:rsidTr="00CB4540">
        <w:tc>
          <w:tcPr>
            <w:tcW w:w="2265" w:type="dxa"/>
            <w:vAlign w:val="center"/>
          </w:tcPr>
          <w:p w14:paraId="649F034F" w14:textId="53F8F57F" w:rsidR="00CB4540" w:rsidRPr="00CB4540" w:rsidRDefault="00CB4540" w:rsidP="00CB4540">
            <w:pPr>
              <w:spacing w:after="0" w:line="240" w:lineRule="auto"/>
              <w:jc w:val="both"/>
              <w:rPr>
                <w:rFonts w:ascii="Times New Roman" w:hAnsi="Times New Roman"/>
                <w:color w:val="000000" w:themeColor="text1"/>
                <w:sz w:val="18"/>
                <w:szCs w:val="18"/>
                <w:lang w:val="en-US"/>
              </w:rPr>
            </w:pPr>
            <w:proofErr w:type="spellStart"/>
            <w:r w:rsidRPr="00CB4540">
              <w:rPr>
                <w:rFonts w:ascii="Times New Roman" w:hAnsi="Times New Roman"/>
                <w:color w:val="000000" w:themeColor="text1"/>
                <w:sz w:val="18"/>
                <w:szCs w:val="18"/>
              </w:rPr>
              <w:t>Others</w:t>
            </w:r>
            <w:proofErr w:type="spellEnd"/>
            <w:r w:rsidRPr="00CB4540">
              <w:rPr>
                <w:rFonts w:ascii="Times New Roman" w:hAnsi="Times New Roman"/>
                <w:color w:val="000000" w:themeColor="text1"/>
                <w:sz w:val="18"/>
                <w:szCs w:val="18"/>
              </w:rPr>
              <w:t xml:space="preserve"> (</w:t>
            </w:r>
            <w:proofErr w:type="spellStart"/>
            <w:r w:rsidRPr="00CB4540">
              <w:rPr>
                <w:rFonts w:ascii="Times New Roman" w:hAnsi="Times New Roman"/>
                <w:color w:val="000000" w:themeColor="text1"/>
                <w:sz w:val="18"/>
                <w:szCs w:val="18"/>
              </w:rPr>
              <w:t>combined</w:t>
            </w:r>
            <w:proofErr w:type="spellEnd"/>
            <w:r w:rsidRPr="00CB4540">
              <w:rPr>
                <w:rFonts w:ascii="Times New Roman" w:hAnsi="Times New Roman"/>
                <w:color w:val="000000" w:themeColor="text1"/>
                <w:sz w:val="18"/>
                <w:szCs w:val="18"/>
              </w:rPr>
              <w:t>)</w:t>
            </w:r>
          </w:p>
        </w:tc>
        <w:tc>
          <w:tcPr>
            <w:tcW w:w="2265" w:type="dxa"/>
            <w:vAlign w:val="center"/>
          </w:tcPr>
          <w:p w14:paraId="434ECA29" w14:textId="10EEF8B5" w:rsidR="00CB4540" w:rsidRPr="00CB4540" w:rsidRDefault="00CB4540" w:rsidP="00CB4540">
            <w:pPr>
              <w:spacing w:after="0" w:line="240" w:lineRule="auto"/>
              <w:jc w:val="center"/>
              <w:rPr>
                <w:rFonts w:ascii="Times New Roman" w:hAnsi="Times New Roman"/>
                <w:color w:val="000000" w:themeColor="text1"/>
                <w:sz w:val="18"/>
                <w:szCs w:val="18"/>
                <w:lang w:val="en-US"/>
              </w:rPr>
            </w:pPr>
            <w:r w:rsidRPr="00CB4540">
              <w:rPr>
                <w:rFonts w:ascii="Times New Roman" w:hAnsi="Times New Roman"/>
                <w:color w:val="000000" w:themeColor="text1"/>
                <w:sz w:val="18"/>
                <w:szCs w:val="18"/>
              </w:rPr>
              <w:t>338</w:t>
            </w:r>
          </w:p>
        </w:tc>
        <w:tc>
          <w:tcPr>
            <w:tcW w:w="2265" w:type="dxa"/>
            <w:vAlign w:val="center"/>
          </w:tcPr>
          <w:p w14:paraId="40AE6647" w14:textId="3AC7FCFD" w:rsidR="00CB4540" w:rsidRPr="00CB4540" w:rsidRDefault="00CB4540" w:rsidP="00CB4540">
            <w:pPr>
              <w:spacing w:after="0" w:line="240" w:lineRule="auto"/>
              <w:jc w:val="center"/>
              <w:rPr>
                <w:rFonts w:ascii="Times New Roman" w:hAnsi="Times New Roman"/>
                <w:color w:val="000000" w:themeColor="text1"/>
                <w:sz w:val="18"/>
                <w:szCs w:val="18"/>
                <w:lang w:val="en-US"/>
              </w:rPr>
            </w:pPr>
            <w:r w:rsidRPr="00CB4540">
              <w:rPr>
                <w:rFonts w:ascii="Times New Roman" w:hAnsi="Times New Roman"/>
                <w:color w:val="000000" w:themeColor="text1"/>
                <w:sz w:val="18"/>
                <w:szCs w:val="18"/>
              </w:rPr>
              <w:t>95</w:t>
            </w:r>
          </w:p>
        </w:tc>
        <w:tc>
          <w:tcPr>
            <w:tcW w:w="2265" w:type="dxa"/>
            <w:vAlign w:val="center"/>
          </w:tcPr>
          <w:p w14:paraId="7D969465" w14:textId="25414975" w:rsidR="00CB4540" w:rsidRPr="00CB4540" w:rsidRDefault="00CB4540" w:rsidP="00CB4540">
            <w:pPr>
              <w:spacing w:after="0" w:line="240" w:lineRule="auto"/>
              <w:jc w:val="center"/>
              <w:rPr>
                <w:rFonts w:ascii="Times New Roman" w:hAnsi="Times New Roman"/>
                <w:color w:val="000000" w:themeColor="text1"/>
                <w:sz w:val="18"/>
                <w:szCs w:val="18"/>
                <w:lang w:val="en-US"/>
              </w:rPr>
            </w:pPr>
            <w:r w:rsidRPr="00CB4540">
              <w:rPr>
                <w:rFonts w:ascii="Times New Roman" w:hAnsi="Times New Roman"/>
                <w:color w:val="000000" w:themeColor="text1"/>
                <w:sz w:val="18"/>
                <w:szCs w:val="18"/>
              </w:rPr>
              <w:t>21.1</w:t>
            </w:r>
          </w:p>
        </w:tc>
      </w:tr>
    </w:tbl>
    <w:p w14:paraId="65FAB8E4" w14:textId="77777777" w:rsidR="00CB4540" w:rsidRDefault="00CB4540" w:rsidP="008813F9">
      <w:pPr>
        <w:spacing w:after="0" w:line="240" w:lineRule="auto"/>
        <w:jc w:val="both"/>
        <w:rPr>
          <w:rFonts w:ascii="Times New Roman" w:hAnsi="Times New Roman"/>
          <w:color w:val="000000" w:themeColor="text1"/>
          <w:sz w:val="20"/>
          <w:szCs w:val="20"/>
          <w:lang w:val="en-US"/>
        </w:rPr>
      </w:pPr>
    </w:p>
    <w:p w14:paraId="23BC3D4A"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This table confirms that Inner Mongolia and Hebei represent critical bottlenecks in China’s industrial decarbonization pathway, both in terms of site density and absolute capacity deficits.</w:t>
      </w:r>
    </w:p>
    <w:p w14:paraId="078802F3" w14:textId="77777777" w:rsid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To complement this infrastructure-based assessment, Figure 8 presents the 2030 baseline emissions of key industrial sectors that are forecasted to face grid constraints in 2050.</w:t>
      </w:r>
    </w:p>
    <w:p w14:paraId="52B18EFB" w14:textId="77777777" w:rsidR="00CB4540" w:rsidRDefault="00CB4540" w:rsidP="008813F9">
      <w:pPr>
        <w:spacing w:after="0" w:line="240" w:lineRule="auto"/>
        <w:jc w:val="both"/>
        <w:rPr>
          <w:rFonts w:ascii="Times New Roman" w:hAnsi="Times New Roman"/>
          <w:color w:val="000000" w:themeColor="text1"/>
          <w:sz w:val="20"/>
          <w:szCs w:val="20"/>
          <w:lang w:val="en-US"/>
        </w:rPr>
      </w:pPr>
    </w:p>
    <w:p w14:paraId="07E5C733" w14:textId="77777777" w:rsidR="008813F9" w:rsidRPr="008813F9" w:rsidRDefault="008813F9" w:rsidP="00CB4540">
      <w:pPr>
        <w:pStyle w:val="NormalnyWeb"/>
        <w:spacing w:before="0" w:beforeAutospacing="0" w:after="0" w:afterAutospacing="0"/>
        <w:jc w:val="center"/>
        <w:rPr>
          <w:rFonts w:ascii="Times New Roman" w:hAnsi="Times New Roman" w:cs="Times New Roman"/>
          <w:color w:val="000000" w:themeColor="text1"/>
          <w:sz w:val="20"/>
          <w:szCs w:val="20"/>
        </w:rPr>
      </w:pPr>
      <w:r w:rsidRPr="008813F9">
        <w:rPr>
          <w:rFonts w:ascii="Times New Roman" w:hAnsi="Times New Roman" w:cs="Times New Roman"/>
          <w:noProof/>
          <w:color w:val="000000" w:themeColor="text1"/>
          <w:sz w:val="20"/>
          <w:szCs w:val="20"/>
        </w:rPr>
        <w:lastRenderedPageBreak/>
        <w:drawing>
          <wp:inline distT="0" distB="0" distL="0" distR="0" wp14:anchorId="4B4DE3AF" wp14:editId="2E122FEC">
            <wp:extent cx="5429250" cy="2895600"/>
            <wp:effectExtent l="0" t="0" r="0" b="0"/>
            <wp:docPr id="22" name="Image 22" descr="Bar chart showing industrial sector baseline emissions (2030) for constrained point-source sites, from steel, thorugh chemicals, fodd and drink to non-ferrous se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descr="Bar chart showing industrial sector baseline emissions (2030) for constrained point-source sites, from steel, thorugh chemicals, fodd and drink to non-ferrous sectors"/>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5882"/>
                    <a:stretch>
                      <a:fillRect/>
                    </a:stretch>
                  </pic:blipFill>
                  <pic:spPr bwMode="auto">
                    <a:xfrm>
                      <a:off x="0" y="0"/>
                      <a:ext cx="5429250" cy="2895600"/>
                    </a:xfrm>
                    <a:prstGeom prst="rect">
                      <a:avLst/>
                    </a:prstGeom>
                    <a:noFill/>
                    <a:ln>
                      <a:noFill/>
                    </a:ln>
                    <a:extLst>
                      <a:ext uri="{53640926-AAD7-44D8-BBD7-CCE9431645EC}">
                        <a14:shadowObscured xmlns:a14="http://schemas.microsoft.com/office/drawing/2010/main"/>
                      </a:ext>
                    </a:extLst>
                  </pic:spPr>
                </pic:pic>
              </a:graphicData>
            </a:graphic>
          </wp:inline>
        </w:drawing>
      </w:r>
    </w:p>
    <w:p w14:paraId="02CFE2A6" w14:textId="77777777" w:rsidR="003C0960" w:rsidRPr="00CB4540" w:rsidRDefault="003C0960" w:rsidP="003C0960">
      <w:pPr>
        <w:spacing w:after="0" w:line="240" w:lineRule="auto"/>
        <w:jc w:val="both"/>
        <w:rPr>
          <w:rFonts w:ascii="Times New Roman" w:hAnsi="Times New Roman"/>
          <w:color w:val="000000" w:themeColor="text1"/>
          <w:sz w:val="18"/>
          <w:szCs w:val="18"/>
          <w:lang w:val="en-US"/>
        </w:rPr>
      </w:pPr>
      <w:r w:rsidRPr="00CB4540">
        <w:rPr>
          <w:rFonts w:ascii="Times New Roman" w:hAnsi="Times New Roman"/>
          <w:color w:val="000000" w:themeColor="text1"/>
          <w:sz w:val="18"/>
          <w:szCs w:val="18"/>
          <w:lang w:val="en-US"/>
        </w:rPr>
        <w:t>Figure 8. Industrial sector baseline emissions (2030) for constrained point-source sites, source: own elaboration</w:t>
      </w:r>
    </w:p>
    <w:p w14:paraId="5C494C18" w14:textId="77777777" w:rsidR="00CB4540" w:rsidRPr="00CB4540" w:rsidRDefault="00CB4540" w:rsidP="003C0960">
      <w:pPr>
        <w:spacing w:after="0" w:line="240" w:lineRule="auto"/>
        <w:jc w:val="both"/>
        <w:rPr>
          <w:rFonts w:ascii="Times New Roman" w:hAnsi="Times New Roman"/>
          <w:color w:val="000000" w:themeColor="text1"/>
          <w:sz w:val="12"/>
          <w:szCs w:val="12"/>
          <w:lang w:val="en-US"/>
        </w:rPr>
      </w:pPr>
    </w:p>
    <w:p w14:paraId="1517955E" w14:textId="7263087B"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The figure highlights the emission profiles of constrained industrial sectors:</w:t>
      </w:r>
    </w:p>
    <w:p w14:paraId="44CA0693" w14:textId="02F926D7" w:rsidR="008813F9" w:rsidRPr="00CB4540" w:rsidRDefault="008813F9">
      <w:pPr>
        <w:numPr>
          <w:ilvl w:val="0"/>
          <w:numId w:val="22"/>
        </w:numPr>
        <w:spacing w:after="0" w:line="240" w:lineRule="auto"/>
        <w:jc w:val="both"/>
        <w:rPr>
          <w:rFonts w:ascii="Times New Roman" w:hAnsi="Times New Roman"/>
          <w:color w:val="000000" w:themeColor="text1"/>
          <w:sz w:val="20"/>
          <w:szCs w:val="20"/>
        </w:rPr>
      </w:pPr>
      <w:r w:rsidRPr="00CB4540">
        <w:rPr>
          <w:rFonts w:ascii="Times New Roman" w:hAnsi="Times New Roman"/>
          <w:b/>
          <w:bCs/>
          <w:color w:val="000000" w:themeColor="text1"/>
          <w:sz w:val="20"/>
          <w:szCs w:val="20"/>
        </w:rPr>
        <w:t>Chemicals</w:t>
      </w:r>
      <w:r w:rsidRPr="00CB4540">
        <w:rPr>
          <w:rFonts w:ascii="Times New Roman" w:hAnsi="Times New Roman"/>
          <w:color w:val="000000" w:themeColor="text1"/>
          <w:sz w:val="20"/>
          <w:szCs w:val="20"/>
        </w:rPr>
        <w:t xml:space="preserve">: ~140 </w:t>
      </w:r>
      <w:proofErr w:type="spellStart"/>
      <w:r w:rsidRPr="00CB4540">
        <w:rPr>
          <w:rFonts w:ascii="Times New Roman" w:hAnsi="Times New Roman"/>
          <w:color w:val="000000" w:themeColor="text1"/>
          <w:sz w:val="20"/>
          <w:szCs w:val="20"/>
        </w:rPr>
        <w:t>MtCO₂e</w:t>
      </w:r>
      <w:proofErr w:type="spellEnd"/>
      <w:r w:rsidR="00CB4540">
        <w:rPr>
          <w:rFonts w:ascii="Times New Roman" w:hAnsi="Times New Roman"/>
          <w:color w:val="000000" w:themeColor="text1"/>
          <w:sz w:val="20"/>
          <w:szCs w:val="20"/>
        </w:rPr>
        <w:t>,</w:t>
      </w:r>
    </w:p>
    <w:p w14:paraId="156AFD90" w14:textId="2B53ABB9" w:rsidR="008813F9" w:rsidRPr="00CB4540" w:rsidRDefault="008813F9">
      <w:pPr>
        <w:numPr>
          <w:ilvl w:val="0"/>
          <w:numId w:val="22"/>
        </w:numPr>
        <w:spacing w:after="0" w:line="240" w:lineRule="auto"/>
        <w:jc w:val="both"/>
        <w:rPr>
          <w:rFonts w:ascii="Times New Roman" w:hAnsi="Times New Roman"/>
          <w:color w:val="000000" w:themeColor="text1"/>
          <w:sz w:val="20"/>
          <w:szCs w:val="20"/>
        </w:rPr>
      </w:pPr>
      <w:r w:rsidRPr="00CB4540">
        <w:rPr>
          <w:rFonts w:ascii="Times New Roman" w:hAnsi="Times New Roman"/>
          <w:b/>
          <w:bCs/>
          <w:color w:val="000000" w:themeColor="text1"/>
          <w:sz w:val="20"/>
          <w:szCs w:val="20"/>
        </w:rPr>
        <w:t>Steel</w:t>
      </w:r>
      <w:r w:rsidRPr="00CB4540">
        <w:rPr>
          <w:rFonts w:ascii="Times New Roman" w:hAnsi="Times New Roman"/>
          <w:color w:val="000000" w:themeColor="text1"/>
          <w:sz w:val="20"/>
          <w:szCs w:val="20"/>
        </w:rPr>
        <w:t xml:space="preserve">: ~120 </w:t>
      </w:r>
      <w:proofErr w:type="spellStart"/>
      <w:r w:rsidRPr="00CB4540">
        <w:rPr>
          <w:rFonts w:ascii="Times New Roman" w:hAnsi="Times New Roman"/>
          <w:color w:val="000000" w:themeColor="text1"/>
          <w:sz w:val="20"/>
          <w:szCs w:val="20"/>
        </w:rPr>
        <w:t>MtCO₂e</w:t>
      </w:r>
      <w:proofErr w:type="spellEnd"/>
      <w:r w:rsidR="00CB4540">
        <w:rPr>
          <w:rFonts w:ascii="Times New Roman" w:hAnsi="Times New Roman"/>
          <w:color w:val="000000" w:themeColor="text1"/>
          <w:sz w:val="20"/>
          <w:szCs w:val="20"/>
        </w:rPr>
        <w:t>,</w:t>
      </w:r>
    </w:p>
    <w:p w14:paraId="448E2DB7" w14:textId="43EF92BA" w:rsidR="008813F9" w:rsidRPr="00CB4540" w:rsidRDefault="008813F9">
      <w:pPr>
        <w:numPr>
          <w:ilvl w:val="0"/>
          <w:numId w:val="22"/>
        </w:numPr>
        <w:spacing w:after="0" w:line="240" w:lineRule="auto"/>
        <w:jc w:val="both"/>
        <w:rPr>
          <w:rFonts w:ascii="Times New Roman" w:hAnsi="Times New Roman"/>
          <w:color w:val="000000" w:themeColor="text1"/>
          <w:sz w:val="20"/>
          <w:szCs w:val="20"/>
        </w:rPr>
      </w:pPr>
      <w:r w:rsidRPr="00CB4540">
        <w:rPr>
          <w:rFonts w:ascii="Times New Roman" w:hAnsi="Times New Roman"/>
          <w:b/>
          <w:bCs/>
          <w:color w:val="000000" w:themeColor="text1"/>
          <w:sz w:val="20"/>
          <w:szCs w:val="20"/>
        </w:rPr>
        <w:t>Cement</w:t>
      </w:r>
      <w:r w:rsidRPr="00CB4540">
        <w:rPr>
          <w:rFonts w:ascii="Times New Roman" w:hAnsi="Times New Roman"/>
          <w:color w:val="000000" w:themeColor="text1"/>
          <w:sz w:val="20"/>
          <w:szCs w:val="20"/>
        </w:rPr>
        <w:t xml:space="preserve">: ~85 </w:t>
      </w:r>
      <w:proofErr w:type="spellStart"/>
      <w:r w:rsidRPr="00CB4540">
        <w:rPr>
          <w:rFonts w:ascii="Times New Roman" w:hAnsi="Times New Roman"/>
          <w:color w:val="000000" w:themeColor="text1"/>
          <w:sz w:val="20"/>
          <w:szCs w:val="20"/>
        </w:rPr>
        <w:t>MtCO₂e</w:t>
      </w:r>
      <w:proofErr w:type="spellEnd"/>
      <w:r w:rsidR="00CB4540">
        <w:rPr>
          <w:rFonts w:ascii="Times New Roman" w:hAnsi="Times New Roman"/>
          <w:color w:val="000000" w:themeColor="text1"/>
          <w:sz w:val="20"/>
          <w:szCs w:val="20"/>
        </w:rPr>
        <w:t>,</w:t>
      </w:r>
    </w:p>
    <w:p w14:paraId="1D7CAC5C" w14:textId="58DCD517" w:rsidR="008813F9" w:rsidRPr="00CB4540" w:rsidRDefault="008813F9">
      <w:pPr>
        <w:numPr>
          <w:ilvl w:val="0"/>
          <w:numId w:val="22"/>
        </w:numPr>
        <w:spacing w:after="0" w:line="240" w:lineRule="auto"/>
        <w:jc w:val="both"/>
        <w:rPr>
          <w:rFonts w:ascii="Times New Roman" w:hAnsi="Times New Roman"/>
          <w:color w:val="000000" w:themeColor="text1"/>
          <w:sz w:val="20"/>
          <w:szCs w:val="20"/>
        </w:rPr>
      </w:pPr>
      <w:r w:rsidRPr="00CB4540">
        <w:rPr>
          <w:rFonts w:ascii="Times New Roman" w:hAnsi="Times New Roman"/>
          <w:b/>
          <w:bCs/>
          <w:color w:val="000000" w:themeColor="text1"/>
          <w:sz w:val="20"/>
          <w:szCs w:val="20"/>
        </w:rPr>
        <w:t>Food &amp; Drink</w:t>
      </w:r>
      <w:r w:rsidRPr="00CB4540">
        <w:rPr>
          <w:rFonts w:ascii="Times New Roman" w:hAnsi="Times New Roman"/>
          <w:color w:val="000000" w:themeColor="text1"/>
          <w:sz w:val="20"/>
          <w:szCs w:val="20"/>
        </w:rPr>
        <w:t xml:space="preserve">: ~60 </w:t>
      </w:r>
      <w:proofErr w:type="spellStart"/>
      <w:r w:rsidRPr="00CB4540">
        <w:rPr>
          <w:rFonts w:ascii="Times New Roman" w:hAnsi="Times New Roman"/>
          <w:color w:val="000000" w:themeColor="text1"/>
          <w:sz w:val="20"/>
          <w:szCs w:val="20"/>
        </w:rPr>
        <w:t>MtCO₂e</w:t>
      </w:r>
      <w:proofErr w:type="spellEnd"/>
      <w:r w:rsidR="00CB4540">
        <w:rPr>
          <w:rFonts w:ascii="Times New Roman" w:hAnsi="Times New Roman"/>
          <w:color w:val="000000" w:themeColor="text1"/>
          <w:sz w:val="20"/>
          <w:szCs w:val="20"/>
        </w:rPr>
        <w:t>,</w:t>
      </w:r>
    </w:p>
    <w:p w14:paraId="52ED07F5" w14:textId="77777777" w:rsid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These sectors risk emissions lock-in if grid upgrades lag behind electrification schedules. The persistence of fossil-based operations in constrained zones could undermine national emission reduction commitments and delay technological transitions in China’s most carbon-intensive industries.</w:t>
      </w:r>
    </w:p>
    <w:p w14:paraId="18AF1D84" w14:textId="77777777" w:rsidR="00CB4540" w:rsidRPr="008813F9" w:rsidRDefault="00CB4540" w:rsidP="008813F9">
      <w:pPr>
        <w:spacing w:after="0" w:line="240" w:lineRule="auto"/>
        <w:jc w:val="both"/>
        <w:rPr>
          <w:rFonts w:ascii="Times New Roman" w:hAnsi="Times New Roman"/>
          <w:color w:val="000000" w:themeColor="text1"/>
          <w:sz w:val="20"/>
          <w:szCs w:val="20"/>
          <w:lang w:val="en-US"/>
        </w:rPr>
      </w:pPr>
    </w:p>
    <w:p w14:paraId="6A57273B" w14:textId="1515A182" w:rsidR="008813F9" w:rsidRPr="00CB4540" w:rsidRDefault="00CB4540" w:rsidP="008813F9">
      <w:pPr>
        <w:spacing w:after="0" w:line="240" w:lineRule="auto"/>
        <w:jc w:val="both"/>
        <w:rPr>
          <w:rFonts w:ascii="Times New Roman" w:hAnsi="Times New Roman"/>
          <w:i/>
          <w:iCs/>
          <w:color w:val="000000" w:themeColor="text1"/>
          <w:sz w:val="20"/>
          <w:szCs w:val="20"/>
          <w:lang w:val="en-US"/>
        </w:rPr>
      </w:pPr>
      <w:r w:rsidRPr="00CB4540">
        <w:rPr>
          <w:rFonts w:ascii="Times New Roman" w:hAnsi="Times New Roman"/>
          <w:i/>
          <w:iCs/>
          <w:color w:val="000000" w:themeColor="text1"/>
          <w:sz w:val="20"/>
          <w:szCs w:val="20"/>
          <w:lang w:val="en-US"/>
        </w:rPr>
        <w:t>5</w:t>
      </w:r>
      <w:r w:rsidR="008813F9" w:rsidRPr="00CB4540">
        <w:rPr>
          <w:rFonts w:ascii="Times New Roman" w:hAnsi="Times New Roman"/>
          <w:i/>
          <w:iCs/>
          <w:color w:val="000000" w:themeColor="text1"/>
          <w:sz w:val="20"/>
          <w:szCs w:val="20"/>
          <w:lang w:val="en-US"/>
        </w:rPr>
        <w:t>.2.3. The impacts of constraints on large industrial sites’ emissions and output</w:t>
      </w:r>
    </w:p>
    <w:p w14:paraId="2C88EB7C" w14:textId="111F9D83" w:rsid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 xml:space="preserve">To quantify the emissions implications of electricity grid limitations, we applied the CIETM simulation framework across constrained industrial zones. Results reveal that, in the absence of adequate electricity infrastructure, approximately 132 </w:t>
      </w:r>
      <w:proofErr w:type="spellStart"/>
      <w:r w:rsidRPr="008813F9">
        <w:rPr>
          <w:rFonts w:ascii="Times New Roman" w:hAnsi="Times New Roman"/>
          <w:color w:val="000000" w:themeColor="text1"/>
          <w:sz w:val="20"/>
          <w:szCs w:val="20"/>
          <w:lang w:val="en-US"/>
        </w:rPr>
        <w:t>MtCO₂e</w:t>
      </w:r>
      <w:proofErr w:type="spellEnd"/>
      <w:r w:rsidRPr="008813F9">
        <w:rPr>
          <w:rFonts w:ascii="Times New Roman" w:hAnsi="Times New Roman"/>
          <w:color w:val="000000" w:themeColor="text1"/>
          <w:sz w:val="20"/>
          <w:szCs w:val="20"/>
          <w:lang w:val="en-US"/>
        </w:rPr>
        <w:t xml:space="preserve"> of industrial emissions will persist annually beyond 2050</w:t>
      </w:r>
      <w:r w:rsidR="00CB4540">
        <w:rPr>
          <w:rFonts w:ascii="Times New Roman" w:hAnsi="Times New Roman"/>
          <w:color w:val="000000" w:themeColor="text1"/>
          <w:sz w:val="20"/>
          <w:szCs w:val="20"/>
          <w:lang w:val="en-US"/>
        </w:rPr>
        <w:t xml:space="preserve"> – </w:t>
      </w:r>
      <w:r w:rsidRPr="008813F9">
        <w:rPr>
          <w:rFonts w:ascii="Times New Roman" w:hAnsi="Times New Roman"/>
          <w:color w:val="000000" w:themeColor="text1"/>
          <w:sz w:val="20"/>
          <w:szCs w:val="20"/>
          <w:lang w:val="en-US"/>
        </w:rPr>
        <w:t>representing a 19% shortfall relative to China’s industrial decarbonization targets.</w:t>
      </w:r>
    </w:p>
    <w:p w14:paraId="23D8EA83" w14:textId="77777777" w:rsidR="00CB4540" w:rsidRPr="008813F9" w:rsidRDefault="00CB4540" w:rsidP="00CB4540">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The primary drivers of these residual emissions include:</w:t>
      </w:r>
    </w:p>
    <w:p w14:paraId="53A969B9" w14:textId="77777777" w:rsidR="00CB4540" w:rsidRPr="00CB4540" w:rsidRDefault="00CB4540">
      <w:pPr>
        <w:numPr>
          <w:ilvl w:val="0"/>
          <w:numId w:val="23"/>
        </w:numPr>
        <w:spacing w:after="0" w:line="240" w:lineRule="auto"/>
        <w:jc w:val="both"/>
        <w:rPr>
          <w:rFonts w:ascii="Times New Roman" w:hAnsi="Times New Roman"/>
          <w:color w:val="000000" w:themeColor="text1"/>
          <w:sz w:val="20"/>
          <w:szCs w:val="20"/>
          <w:lang w:val="en-US"/>
        </w:rPr>
      </w:pPr>
      <w:r w:rsidRPr="00CB4540">
        <w:rPr>
          <w:rFonts w:ascii="Times New Roman" w:hAnsi="Times New Roman"/>
          <w:b/>
          <w:bCs/>
          <w:color w:val="000000" w:themeColor="text1"/>
          <w:sz w:val="20"/>
          <w:szCs w:val="20"/>
          <w:lang w:val="en-US"/>
        </w:rPr>
        <w:t>Delayed electrification</w:t>
      </w:r>
      <w:r w:rsidRPr="00CB4540">
        <w:rPr>
          <w:rFonts w:ascii="Times New Roman" w:hAnsi="Times New Roman"/>
          <w:color w:val="000000" w:themeColor="text1"/>
          <w:sz w:val="20"/>
          <w:szCs w:val="20"/>
          <w:lang w:val="en-US"/>
        </w:rPr>
        <w:t xml:space="preserve"> of high-temperature industrial processes</w:t>
      </w:r>
    </w:p>
    <w:p w14:paraId="2549B8A6" w14:textId="77777777" w:rsidR="00CB4540" w:rsidRPr="00CB4540" w:rsidRDefault="00CB4540">
      <w:pPr>
        <w:numPr>
          <w:ilvl w:val="0"/>
          <w:numId w:val="23"/>
        </w:numPr>
        <w:spacing w:after="0" w:line="240" w:lineRule="auto"/>
        <w:jc w:val="both"/>
        <w:rPr>
          <w:rFonts w:ascii="Times New Roman" w:hAnsi="Times New Roman"/>
          <w:color w:val="000000" w:themeColor="text1"/>
          <w:sz w:val="20"/>
          <w:szCs w:val="20"/>
          <w:lang w:val="en-US"/>
        </w:rPr>
      </w:pPr>
      <w:r w:rsidRPr="00CB4540">
        <w:rPr>
          <w:rFonts w:ascii="Times New Roman" w:hAnsi="Times New Roman"/>
          <w:color w:val="000000" w:themeColor="text1"/>
          <w:sz w:val="20"/>
          <w:szCs w:val="20"/>
          <w:lang w:val="en-US"/>
        </w:rPr>
        <w:t xml:space="preserve">Continued reliance on </w:t>
      </w:r>
      <w:r w:rsidRPr="00CB4540">
        <w:rPr>
          <w:rFonts w:ascii="Times New Roman" w:hAnsi="Times New Roman"/>
          <w:b/>
          <w:bCs/>
          <w:color w:val="000000" w:themeColor="text1"/>
          <w:sz w:val="20"/>
          <w:szCs w:val="20"/>
          <w:lang w:val="en-US"/>
        </w:rPr>
        <w:t>natural gas or coal</w:t>
      </w:r>
      <w:r w:rsidRPr="00CB4540">
        <w:rPr>
          <w:rFonts w:ascii="Times New Roman" w:hAnsi="Times New Roman"/>
          <w:color w:val="000000" w:themeColor="text1"/>
          <w:sz w:val="20"/>
          <w:szCs w:val="20"/>
          <w:lang w:val="en-US"/>
        </w:rPr>
        <w:t xml:space="preserve"> as fallback energy sources</w:t>
      </w:r>
    </w:p>
    <w:p w14:paraId="183D7500" w14:textId="77777777" w:rsidR="00CB4540" w:rsidRPr="00CB4540" w:rsidRDefault="00CB4540">
      <w:pPr>
        <w:numPr>
          <w:ilvl w:val="0"/>
          <w:numId w:val="23"/>
        </w:numPr>
        <w:spacing w:after="0" w:line="240" w:lineRule="auto"/>
        <w:jc w:val="both"/>
        <w:rPr>
          <w:rFonts w:ascii="Times New Roman" w:hAnsi="Times New Roman"/>
          <w:color w:val="000000" w:themeColor="text1"/>
          <w:sz w:val="20"/>
          <w:szCs w:val="20"/>
          <w:lang w:val="en-US"/>
        </w:rPr>
      </w:pPr>
      <w:r w:rsidRPr="00CB4540">
        <w:rPr>
          <w:rFonts w:ascii="Times New Roman" w:hAnsi="Times New Roman"/>
          <w:color w:val="000000" w:themeColor="text1"/>
          <w:sz w:val="20"/>
          <w:szCs w:val="20"/>
          <w:lang w:val="en-US"/>
        </w:rPr>
        <w:t xml:space="preserve">Efficiency losses due to </w:t>
      </w:r>
      <w:r w:rsidRPr="00CB4540">
        <w:rPr>
          <w:rFonts w:ascii="Times New Roman" w:hAnsi="Times New Roman"/>
          <w:b/>
          <w:bCs/>
          <w:color w:val="000000" w:themeColor="text1"/>
          <w:sz w:val="20"/>
          <w:szCs w:val="20"/>
          <w:lang w:val="en-US"/>
        </w:rPr>
        <w:t>hybrid or transitional energy systems</w:t>
      </w:r>
    </w:p>
    <w:p w14:paraId="08BE396D" w14:textId="77777777" w:rsidR="00CB4540" w:rsidRPr="008813F9" w:rsidRDefault="00CB4540" w:rsidP="00CB4540">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As shown in Figure 9, the distribution of constrained sites by sector and region further underscores the uneven burden of these emissions bottlenecks.</w:t>
      </w:r>
    </w:p>
    <w:p w14:paraId="70700A59" w14:textId="77777777" w:rsidR="00CB4540" w:rsidRPr="008813F9" w:rsidRDefault="00CB4540" w:rsidP="00CB4540">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This figure presents a regional and sectoral breakdown of grid-constrained sites:</w:t>
      </w:r>
    </w:p>
    <w:p w14:paraId="1549DA1E" w14:textId="77777777" w:rsidR="00CB4540" w:rsidRPr="00CB4540" w:rsidRDefault="00CB4540">
      <w:pPr>
        <w:numPr>
          <w:ilvl w:val="0"/>
          <w:numId w:val="24"/>
        </w:numPr>
        <w:spacing w:after="0" w:line="240" w:lineRule="auto"/>
        <w:jc w:val="both"/>
        <w:rPr>
          <w:rFonts w:ascii="Times New Roman" w:hAnsi="Times New Roman"/>
          <w:color w:val="000000" w:themeColor="text1"/>
          <w:sz w:val="20"/>
          <w:szCs w:val="20"/>
          <w:lang w:val="en-US"/>
        </w:rPr>
      </w:pPr>
      <w:r w:rsidRPr="00CB4540">
        <w:rPr>
          <w:rFonts w:ascii="Times New Roman" w:hAnsi="Times New Roman"/>
          <w:b/>
          <w:bCs/>
          <w:color w:val="000000" w:themeColor="text1"/>
          <w:sz w:val="20"/>
          <w:szCs w:val="20"/>
          <w:lang w:val="en-US"/>
        </w:rPr>
        <w:t>Western China</w:t>
      </w:r>
      <w:r w:rsidRPr="00CB4540">
        <w:rPr>
          <w:rFonts w:ascii="Times New Roman" w:hAnsi="Times New Roman"/>
          <w:color w:val="000000" w:themeColor="text1"/>
          <w:sz w:val="20"/>
          <w:szCs w:val="20"/>
          <w:lang w:val="en-US"/>
        </w:rPr>
        <w:t xml:space="preserve"> hosts the largest number of constrained sites, particularly in the </w:t>
      </w:r>
      <w:r w:rsidRPr="00CB4540">
        <w:rPr>
          <w:rFonts w:ascii="Times New Roman" w:hAnsi="Times New Roman"/>
          <w:b/>
          <w:bCs/>
          <w:color w:val="000000" w:themeColor="text1"/>
          <w:sz w:val="20"/>
          <w:szCs w:val="20"/>
          <w:lang w:val="en-US"/>
        </w:rPr>
        <w:t>Steel</w:t>
      </w:r>
      <w:r w:rsidRPr="00CB4540">
        <w:rPr>
          <w:rFonts w:ascii="Times New Roman" w:hAnsi="Times New Roman"/>
          <w:color w:val="000000" w:themeColor="text1"/>
          <w:sz w:val="20"/>
          <w:szCs w:val="20"/>
          <w:lang w:val="en-US"/>
        </w:rPr>
        <w:t xml:space="preserve"> and </w:t>
      </w:r>
      <w:r w:rsidRPr="00CB4540">
        <w:rPr>
          <w:rFonts w:ascii="Times New Roman" w:hAnsi="Times New Roman"/>
          <w:b/>
          <w:bCs/>
          <w:color w:val="000000" w:themeColor="text1"/>
          <w:sz w:val="20"/>
          <w:szCs w:val="20"/>
          <w:lang w:val="en-US"/>
        </w:rPr>
        <w:t>Chemical</w:t>
      </w:r>
      <w:r w:rsidRPr="00CB4540">
        <w:rPr>
          <w:rFonts w:ascii="Times New Roman" w:hAnsi="Times New Roman"/>
          <w:color w:val="000000" w:themeColor="text1"/>
          <w:sz w:val="20"/>
          <w:szCs w:val="20"/>
          <w:lang w:val="en-US"/>
        </w:rPr>
        <w:t xml:space="preserve"> sectors.</w:t>
      </w:r>
    </w:p>
    <w:p w14:paraId="4D416606" w14:textId="77777777" w:rsidR="00CB4540" w:rsidRPr="00CB4540" w:rsidRDefault="00CB4540">
      <w:pPr>
        <w:numPr>
          <w:ilvl w:val="0"/>
          <w:numId w:val="24"/>
        </w:numPr>
        <w:spacing w:after="0" w:line="240" w:lineRule="auto"/>
        <w:jc w:val="both"/>
        <w:rPr>
          <w:rFonts w:ascii="Times New Roman" w:hAnsi="Times New Roman"/>
          <w:color w:val="000000" w:themeColor="text1"/>
          <w:sz w:val="20"/>
          <w:szCs w:val="20"/>
          <w:lang w:val="en-US"/>
        </w:rPr>
      </w:pPr>
      <w:r w:rsidRPr="00CB4540">
        <w:rPr>
          <w:rFonts w:ascii="Times New Roman" w:hAnsi="Times New Roman"/>
          <w:b/>
          <w:bCs/>
          <w:color w:val="000000" w:themeColor="text1"/>
          <w:sz w:val="20"/>
          <w:szCs w:val="20"/>
          <w:lang w:val="en-US"/>
        </w:rPr>
        <w:t>Central China</w:t>
      </w:r>
      <w:r w:rsidRPr="00CB4540">
        <w:rPr>
          <w:rFonts w:ascii="Times New Roman" w:hAnsi="Times New Roman"/>
          <w:color w:val="000000" w:themeColor="text1"/>
          <w:sz w:val="20"/>
          <w:szCs w:val="20"/>
          <w:lang w:val="en-US"/>
        </w:rPr>
        <w:t xml:space="preserve"> sees high constraint levels in </w:t>
      </w:r>
      <w:r w:rsidRPr="00CB4540">
        <w:rPr>
          <w:rFonts w:ascii="Times New Roman" w:hAnsi="Times New Roman"/>
          <w:b/>
          <w:bCs/>
          <w:color w:val="000000" w:themeColor="text1"/>
          <w:sz w:val="20"/>
          <w:szCs w:val="20"/>
          <w:lang w:val="en-US"/>
        </w:rPr>
        <w:t>Cement</w:t>
      </w:r>
      <w:r w:rsidRPr="00CB4540">
        <w:rPr>
          <w:rFonts w:ascii="Times New Roman" w:hAnsi="Times New Roman"/>
          <w:color w:val="000000" w:themeColor="text1"/>
          <w:sz w:val="20"/>
          <w:szCs w:val="20"/>
          <w:lang w:val="en-US"/>
        </w:rPr>
        <w:t xml:space="preserve"> and </w:t>
      </w:r>
      <w:r w:rsidRPr="00CB4540">
        <w:rPr>
          <w:rFonts w:ascii="Times New Roman" w:hAnsi="Times New Roman"/>
          <w:b/>
          <w:bCs/>
          <w:color w:val="000000" w:themeColor="text1"/>
          <w:sz w:val="20"/>
          <w:szCs w:val="20"/>
          <w:lang w:val="en-US"/>
        </w:rPr>
        <w:t>Steel</w:t>
      </w:r>
      <w:r w:rsidRPr="00CB4540">
        <w:rPr>
          <w:rFonts w:ascii="Times New Roman" w:hAnsi="Times New Roman"/>
          <w:color w:val="000000" w:themeColor="text1"/>
          <w:sz w:val="20"/>
          <w:szCs w:val="20"/>
          <w:lang w:val="en-US"/>
        </w:rPr>
        <w:t>, reflecting lagging grid investment in inland provinces.</w:t>
      </w:r>
    </w:p>
    <w:p w14:paraId="60F3C5B3" w14:textId="77777777" w:rsidR="00CB4540" w:rsidRPr="00CB4540" w:rsidRDefault="00CB4540">
      <w:pPr>
        <w:numPr>
          <w:ilvl w:val="0"/>
          <w:numId w:val="24"/>
        </w:numPr>
        <w:spacing w:after="0" w:line="240" w:lineRule="auto"/>
        <w:jc w:val="both"/>
        <w:rPr>
          <w:rFonts w:ascii="Times New Roman" w:hAnsi="Times New Roman"/>
          <w:color w:val="000000" w:themeColor="text1"/>
          <w:sz w:val="20"/>
          <w:szCs w:val="20"/>
          <w:lang w:val="en-US"/>
        </w:rPr>
      </w:pPr>
      <w:r w:rsidRPr="00CB4540">
        <w:rPr>
          <w:rFonts w:ascii="Times New Roman" w:hAnsi="Times New Roman"/>
          <w:b/>
          <w:bCs/>
          <w:color w:val="000000" w:themeColor="text1"/>
          <w:sz w:val="20"/>
          <w:szCs w:val="20"/>
          <w:lang w:val="en-US"/>
        </w:rPr>
        <w:t>Eastern China</w:t>
      </w:r>
      <w:r w:rsidRPr="00CB4540">
        <w:rPr>
          <w:rFonts w:ascii="Times New Roman" w:hAnsi="Times New Roman"/>
          <w:color w:val="000000" w:themeColor="text1"/>
          <w:sz w:val="20"/>
          <w:szCs w:val="20"/>
          <w:lang w:val="en-US"/>
        </w:rPr>
        <w:t xml:space="preserve">, while generally more electrified, still faces bottlenecks in </w:t>
      </w:r>
      <w:r w:rsidRPr="00CB4540">
        <w:rPr>
          <w:rFonts w:ascii="Times New Roman" w:hAnsi="Times New Roman"/>
          <w:b/>
          <w:bCs/>
          <w:color w:val="000000" w:themeColor="text1"/>
          <w:sz w:val="20"/>
          <w:szCs w:val="20"/>
          <w:lang w:val="en-US"/>
        </w:rPr>
        <w:t>Chemicals</w:t>
      </w:r>
      <w:r w:rsidRPr="00CB4540">
        <w:rPr>
          <w:rFonts w:ascii="Times New Roman" w:hAnsi="Times New Roman"/>
          <w:color w:val="000000" w:themeColor="text1"/>
          <w:sz w:val="20"/>
          <w:szCs w:val="20"/>
          <w:lang w:val="en-US"/>
        </w:rPr>
        <w:t xml:space="preserve"> and </w:t>
      </w:r>
      <w:r w:rsidRPr="00CB4540">
        <w:rPr>
          <w:rFonts w:ascii="Times New Roman" w:hAnsi="Times New Roman"/>
          <w:b/>
          <w:bCs/>
          <w:color w:val="000000" w:themeColor="text1"/>
          <w:sz w:val="20"/>
          <w:szCs w:val="20"/>
          <w:lang w:val="en-US"/>
        </w:rPr>
        <w:t>Food &amp; Drink</w:t>
      </w:r>
      <w:r w:rsidRPr="00CB4540">
        <w:rPr>
          <w:rFonts w:ascii="Times New Roman" w:hAnsi="Times New Roman"/>
          <w:color w:val="000000" w:themeColor="text1"/>
          <w:sz w:val="20"/>
          <w:szCs w:val="20"/>
          <w:lang w:val="en-US"/>
        </w:rPr>
        <w:t xml:space="preserve"> due to demand clustering.</w:t>
      </w:r>
    </w:p>
    <w:p w14:paraId="02F455D9" w14:textId="77777777" w:rsidR="00CB4540" w:rsidRPr="00CB4540" w:rsidRDefault="00CB4540">
      <w:pPr>
        <w:numPr>
          <w:ilvl w:val="0"/>
          <w:numId w:val="24"/>
        </w:numPr>
        <w:spacing w:after="0" w:line="240" w:lineRule="auto"/>
        <w:jc w:val="both"/>
        <w:rPr>
          <w:rFonts w:ascii="Times New Roman" w:hAnsi="Times New Roman"/>
          <w:color w:val="000000" w:themeColor="text1"/>
          <w:sz w:val="20"/>
          <w:szCs w:val="20"/>
          <w:lang w:val="en-US"/>
        </w:rPr>
      </w:pPr>
      <w:r w:rsidRPr="00CB4540">
        <w:rPr>
          <w:rFonts w:ascii="Times New Roman" w:hAnsi="Times New Roman"/>
          <w:b/>
          <w:bCs/>
          <w:color w:val="000000" w:themeColor="text1"/>
          <w:sz w:val="20"/>
          <w:szCs w:val="20"/>
          <w:lang w:val="en-US"/>
        </w:rPr>
        <w:t>Northeast China</w:t>
      </w:r>
      <w:r w:rsidRPr="00CB4540">
        <w:rPr>
          <w:rFonts w:ascii="Times New Roman" w:hAnsi="Times New Roman"/>
          <w:color w:val="000000" w:themeColor="text1"/>
          <w:sz w:val="20"/>
          <w:szCs w:val="20"/>
          <w:lang w:val="en-US"/>
        </w:rPr>
        <w:t xml:space="preserve"> has fewer constrained sites overall, but they span across multiple sectors.</w:t>
      </w:r>
    </w:p>
    <w:p w14:paraId="728E15EF" w14:textId="77777777" w:rsidR="00CB4540" w:rsidRPr="008813F9" w:rsidRDefault="00CB4540" w:rsidP="00CB4540">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This evidence confirms that industrial decarbonization constraints are both regional and sectoral in nature, calling for sector-specific infrastructure strategies that reflect regional demand dynamics.</w:t>
      </w:r>
    </w:p>
    <w:p w14:paraId="4FEC6331" w14:textId="11176B3A" w:rsidR="00CB4540" w:rsidRDefault="00CB4540" w:rsidP="00CB4540">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Beyond emissions, grid constraints also impose measurable productivity losses. Heavily electrified sectors</w:t>
      </w:r>
      <w:r>
        <w:rPr>
          <w:rFonts w:ascii="Times New Roman" w:hAnsi="Times New Roman"/>
          <w:color w:val="000000" w:themeColor="text1"/>
          <w:sz w:val="20"/>
          <w:szCs w:val="20"/>
          <w:lang w:val="en-US"/>
        </w:rPr>
        <w:t xml:space="preserve"> – </w:t>
      </w:r>
      <w:r w:rsidRPr="008813F9">
        <w:rPr>
          <w:rFonts w:ascii="Times New Roman" w:hAnsi="Times New Roman"/>
          <w:color w:val="000000" w:themeColor="text1"/>
          <w:sz w:val="20"/>
          <w:szCs w:val="20"/>
          <w:lang w:val="en-US"/>
        </w:rPr>
        <w:t>such as steel, cement, and chemicals</w:t>
      </w:r>
      <w:r>
        <w:rPr>
          <w:rFonts w:ascii="Times New Roman" w:hAnsi="Times New Roman"/>
          <w:color w:val="000000" w:themeColor="text1"/>
          <w:sz w:val="20"/>
          <w:szCs w:val="20"/>
          <w:lang w:val="en-US"/>
        </w:rPr>
        <w:t xml:space="preserve"> – </w:t>
      </w:r>
      <w:r w:rsidRPr="008813F9">
        <w:rPr>
          <w:rFonts w:ascii="Times New Roman" w:hAnsi="Times New Roman"/>
          <w:color w:val="000000" w:themeColor="text1"/>
          <w:sz w:val="20"/>
          <w:szCs w:val="20"/>
          <w:lang w:val="en-US"/>
        </w:rPr>
        <w:t>experience reduced throughput, operational delays, and even production curtailments during peak load events.</w:t>
      </w:r>
    </w:p>
    <w:p w14:paraId="045A398B" w14:textId="77777777" w:rsidR="003D6628" w:rsidRDefault="003D6628" w:rsidP="00CB4540">
      <w:pPr>
        <w:spacing w:after="0" w:line="240" w:lineRule="auto"/>
        <w:jc w:val="both"/>
        <w:rPr>
          <w:rFonts w:ascii="Times New Roman" w:hAnsi="Times New Roman"/>
          <w:color w:val="000000" w:themeColor="text1"/>
          <w:sz w:val="20"/>
          <w:szCs w:val="20"/>
          <w:lang w:val="en-US"/>
        </w:rPr>
      </w:pPr>
    </w:p>
    <w:p w14:paraId="7B84129A" w14:textId="77777777" w:rsidR="003D6628" w:rsidRDefault="003D6628" w:rsidP="00CB4540">
      <w:pPr>
        <w:spacing w:after="0" w:line="240" w:lineRule="auto"/>
        <w:jc w:val="both"/>
        <w:rPr>
          <w:rFonts w:ascii="Times New Roman" w:hAnsi="Times New Roman"/>
          <w:color w:val="000000" w:themeColor="text1"/>
          <w:sz w:val="20"/>
          <w:szCs w:val="20"/>
          <w:lang w:val="en-US"/>
        </w:rPr>
      </w:pPr>
    </w:p>
    <w:p w14:paraId="3CA6239A" w14:textId="77777777" w:rsidR="003D6628" w:rsidRDefault="003D6628" w:rsidP="00CB4540">
      <w:pPr>
        <w:spacing w:after="0" w:line="240" w:lineRule="auto"/>
        <w:jc w:val="both"/>
        <w:rPr>
          <w:rFonts w:ascii="Times New Roman" w:hAnsi="Times New Roman"/>
          <w:color w:val="000000" w:themeColor="text1"/>
          <w:sz w:val="20"/>
          <w:szCs w:val="20"/>
          <w:lang w:val="en-US"/>
        </w:rPr>
      </w:pPr>
    </w:p>
    <w:p w14:paraId="30FED590" w14:textId="77777777" w:rsidR="003D6628" w:rsidRDefault="003D6628" w:rsidP="00CB4540">
      <w:pPr>
        <w:spacing w:after="0" w:line="240" w:lineRule="auto"/>
        <w:jc w:val="both"/>
        <w:rPr>
          <w:rFonts w:ascii="Times New Roman" w:hAnsi="Times New Roman"/>
          <w:color w:val="000000" w:themeColor="text1"/>
          <w:sz w:val="20"/>
          <w:szCs w:val="20"/>
          <w:lang w:val="en-US"/>
        </w:rPr>
      </w:pPr>
    </w:p>
    <w:p w14:paraId="15E92341" w14:textId="77777777" w:rsidR="003D6628" w:rsidRDefault="003D6628" w:rsidP="00CB4540">
      <w:pPr>
        <w:spacing w:after="0" w:line="240" w:lineRule="auto"/>
        <w:jc w:val="both"/>
        <w:rPr>
          <w:rFonts w:ascii="Times New Roman" w:hAnsi="Times New Roman"/>
          <w:color w:val="000000" w:themeColor="text1"/>
          <w:sz w:val="20"/>
          <w:szCs w:val="20"/>
          <w:lang w:val="en-US"/>
        </w:rPr>
      </w:pPr>
    </w:p>
    <w:p w14:paraId="3642B324" w14:textId="77777777" w:rsidR="003D6628" w:rsidRDefault="003D6628" w:rsidP="00CB4540">
      <w:pPr>
        <w:spacing w:after="0" w:line="240" w:lineRule="auto"/>
        <w:jc w:val="both"/>
        <w:rPr>
          <w:rFonts w:ascii="Times New Roman" w:hAnsi="Times New Roman"/>
          <w:color w:val="000000" w:themeColor="text1"/>
          <w:sz w:val="20"/>
          <w:szCs w:val="20"/>
          <w:lang w:val="en-US"/>
        </w:rPr>
      </w:pPr>
    </w:p>
    <w:p w14:paraId="0AF1C0E7" w14:textId="77777777" w:rsidR="003D6628" w:rsidRPr="008813F9" w:rsidRDefault="003D6628" w:rsidP="00CB4540">
      <w:pPr>
        <w:spacing w:after="0" w:line="240" w:lineRule="auto"/>
        <w:jc w:val="both"/>
        <w:rPr>
          <w:rFonts w:ascii="Times New Roman" w:hAnsi="Times New Roman"/>
          <w:color w:val="000000" w:themeColor="text1"/>
          <w:sz w:val="20"/>
          <w:szCs w:val="20"/>
          <w:lang w:val="en-US"/>
        </w:rPr>
      </w:pPr>
    </w:p>
    <w:p w14:paraId="6E682316" w14:textId="35CEA8C6" w:rsidR="00CB4540" w:rsidRPr="009E4531" w:rsidRDefault="00CB4540" w:rsidP="003C0960">
      <w:pPr>
        <w:spacing w:after="0" w:line="240" w:lineRule="auto"/>
        <w:jc w:val="both"/>
        <w:rPr>
          <w:rFonts w:ascii="Times New Roman" w:hAnsi="Times New Roman"/>
          <w:color w:val="000000" w:themeColor="text1"/>
          <w:sz w:val="20"/>
          <w:szCs w:val="20"/>
          <w:lang w:val="en-US"/>
        </w:rPr>
      </w:pPr>
      <w:r w:rsidRPr="008813F9">
        <w:rPr>
          <w:rFonts w:ascii="Times New Roman" w:hAnsi="Times New Roman"/>
          <w:noProof/>
          <w:color w:val="000000" w:themeColor="text1"/>
          <w:sz w:val="20"/>
          <w:szCs w:val="20"/>
        </w:rPr>
        <w:drawing>
          <wp:anchor distT="0" distB="0" distL="114300" distR="114300" simplePos="0" relativeHeight="251658240" behindDoc="0" locked="0" layoutInCell="1" allowOverlap="1" wp14:anchorId="424F1CA5" wp14:editId="5C9B119B">
            <wp:simplePos x="0" y="0"/>
            <wp:positionH relativeFrom="column">
              <wp:posOffset>-328930</wp:posOffset>
            </wp:positionH>
            <wp:positionV relativeFrom="paragraph">
              <wp:posOffset>13970</wp:posOffset>
            </wp:positionV>
            <wp:extent cx="6448425" cy="3057525"/>
            <wp:effectExtent l="0" t="0" r="9525" b="9525"/>
            <wp:wrapNone/>
            <wp:docPr id="23" name="Image 23" descr="Bar chart showing location of constrained point-source industrial sites by 2050 in dfferent regions of Ch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3" descr="Bar chart showing location of constrained point-source industrial sites by 2050 in dfferent regions of China"/>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5030"/>
                    <a:stretch>
                      <a:fillRect/>
                    </a:stretch>
                  </pic:blipFill>
                  <pic:spPr bwMode="auto">
                    <a:xfrm>
                      <a:off x="0" y="0"/>
                      <a:ext cx="6448425" cy="3057525"/>
                    </a:xfrm>
                    <a:prstGeom prst="rect">
                      <a:avLst/>
                    </a:prstGeom>
                    <a:noFill/>
                    <a:ln>
                      <a:noFill/>
                    </a:ln>
                    <a:extLst>
                      <a:ext uri="{53640926-AAD7-44D8-BBD7-CCE9431645EC}">
                        <a14:shadowObscured xmlns:a14="http://schemas.microsoft.com/office/drawing/2010/main"/>
                      </a:ext>
                    </a:extLst>
                  </pic:spPr>
                </pic:pic>
              </a:graphicData>
            </a:graphic>
          </wp:anchor>
        </w:drawing>
      </w:r>
    </w:p>
    <w:p w14:paraId="05255D7E" w14:textId="77777777" w:rsidR="00CB4540" w:rsidRDefault="00CB4540" w:rsidP="008813F9">
      <w:pPr>
        <w:pStyle w:val="NormalnyWeb"/>
        <w:spacing w:before="0" w:beforeAutospacing="0" w:after="0" w:afterAutospacing="0"/>
        <w:rPr>
          <w:rFonts w:ascii="Times New Roman" w:hAnsi="Times New Roman" w:cs="Times New Roman"/>
          <w:color w:val="000000" w:themeColor="text1"/>
          <w:sz w:val="20"/>
          <w:szCs w:val="20"/>
        </w:rPr>
      </w:pPr>
    </w:p>
    <w:p w14:paraId="25CF8FE7" w14:textId="77777777" w:rsidR="00CB4540" w:rsidRDefault="00CB4540" w:rsidP="008813F9">
      <w:pPr>
        <w:pStyle w:val="NormalnyWeb"/>
        <w:spacing w:before="0" w:beforeAutospacing="0" w:after="0" w:afterAutospacing="0"/>
        <w:rPr>
          <w:rFonts w:ascii="Times New Roman" w:hAnsi="Times New Roman" w:cs="Times New Roman"/>
          <w:color w:val="000000" w:themeColor="text1"/>
          <w:sz w:val="20"/>
          <w:szCs w:val="20"/>
        </w:rPr>
      </w:pPr>
    </w:p>
    <w:p w14:paraId="653180CD" w14:textId="77777777" w:rsidR="003C0960" w:rsidRDefault="003C0960" w:rsidP="008813F9">
      <w:pPr>
        <w:pStyle w:val="NormalnyWeb"/>
        <w:spacing w:before="0" w:beforeAutospacing="0" w:after="0" w:afterAutospacing="0"/>
        <w:rPr>
          <w:rFonts w:ascii="Times New Roman" w:hAnsi="Times New Roman" w:cs="Times New Roman"/>
          <w:color w:val="000000" w:themeColor="text1"/>
          <w:sz w:val="20"/>
          <w:szCs w:val="20"/>
        </w:rPr>
      </w:pPr>
    </w:p>
    <w:p w14:paraId="759F4310" w14:textId="77777777" w:rsidR="003C0960" w:rsidRDefault="003C0960" w:rsidP="008813F9">
      <w:pPr>
        <w:pStyle w:val="NormalnyWeb"/>
        <w:spacing w:before="0" w:beforeAutospacing="0" w:after="0" w:afterAutospacing="0"/>
        <w:rPr>
          <w:rFonts w:ascii="Times New Roman" w:hAnsi="Times New Roman" w:cs="Times New Roman"/>
          <w:color w:val="000000" w:themeColor="text1"/>
          <w:sz w:val="20"/>
          <w:szCs w:val="20"/>
        </w:rPr>
      </w:pPr>
    </w:p>
    <w:p w14:paraId="20E51B50" w14:textId="77777777" w:rsidR="003C0960" w:rsidRDefault="003C0960" w:rsidP="008813F9">
      <w:pPr>
        <w:pStyle w:val="NormalnyWeb"/>
        <w:spacing w:before="0" w:beforeAutospacing="0" w:after="0" w:afterAutospacing="0"/>
        <w:rPr>
          <w:rFonts w:ascii="Times New Roman" w:hAnsi="Times New Roman" w:cs="Times New Roman"/>
          <w:color w:val="000000" w:themeColor="text1"/>
          <w:sz w:val="20"/>
          <w:szCs w:val="20"/>
        </w:rPr>
      </w:pPr>
    </w:p>
    <w:p w14:paraId="3E23FF1C" w14:textId="77777777" w:rsidR="003C0960" w:rsidRDefault="003C0960" w:rsidP="008813F9">
      <w:pPr>
        <w:pStyle w:val="NormalnyWeb"/>
        <w:spacing w:before="0" w:beforeAutospacing="0" w:after="0" w:afterAutospacing="0"/>
        <w:rPr>
          <w:rFonts w:ascii="Times New Roman" w:hAnsi="Times New Roman" w:cs="Times New Roman"/>
          <w:color w:val="000000" w:themeColor="text1"/>
          <w:sz w:val="20"/>
          <w:szCs w:val="20"/>
        </w:rPr>
      </w:pPr>
    </w:p>
    <w:p w14:paraId="18810143" w14:textId="77777777" w:rsidR="003C0960" w:rsidRDefault="003C0960" w:rsidP="008813F9">
      <w:pPr>
        <w:pStyle w:val="NormalnyWeb"/>
        <w:spacing w:before="0" w:beforeAutospacing="0" w:after="0" w:afterAutospacing="0"/>
        <w:rPr>
          <w:rFonts w:ascii="Times New Roman" w:hAnsi="Times New Roman" w:cs="Times New Roman"/>
          <w:color w:val="000000" w:themeColor="text1"/>
          <w:sz w:val="20"/>
          <w:szCs w:val="20"/>
        </w:rPr>
      </w:pPr>
    </w:p>
    <w:p w14:paraId="0E3881F2" w14:textId="77777777" w:rsidR="003C0960" w:rsidRDefault="003C0960" w:rsidP="008813F9">
      <w:pPr>
        <w:pStyle w:val="NormalnyWeb"/>
        <w:spacing w:before="0" w:beforeAutospacing="0" w:after="0" w:afterAutospacing="0"/>
        <w:rPr>
          <w:rFonts w:ascii="Times New Roman" w:hAnsi="Times New Roman" w:cs="Times New Roman"/>
          <w:color w:val="000000" w:themeColor="text1"/>
          <w:sz w:val="20"/>
          <w:szCs w:val="20"/>
        </w:rPr>
      </w:pPr>
    </w:p>
    <w:p w14:paraId="5F35A880" w14:textId="77777777" w:rsidR="003C0960" w:rsidRDefault="003C0960" w:rsidP="008813F9">
      <w:pPr>
        <w:pStyle w:val="NormalnyWeb"/>
        <w:spacing w:before="0" w:beforeAutospacing="0" w:after="0" w:afterAutospacing="0"/>
        <w:rPr>
          <w:rFonts w:ascii="Times New Roman" w:hAnsi="Times New Roman" w:cs="Times New Roman"/>
          <w:color w:val="000000" w:themeColor="text1"/>
          <w:sz w:val="20"/>
          <w:szCs w:val="20"/>
        </w:rPr>
      </w:pPr>
    </w:p>
    <w:p w14:paraId="70FDFE45" w14:textId="77777777" w:rsidR="003C0960" w:rsidRDefault="003C0960" w:rsidP="008813F9">
      <w:pPr>
        <w:pStyle w:val="NormalnyWeb"/>
        <w:spacing w:before="0" w:beforeAutospacing="0" w:after="0" w:afterAutospacing="0"/>
        <w:rPr>
          <w:rFonts w:ascii="Times New Roman" w:hAnsi="Times New Roman" w:cs="Times New Roman"/>
          <w:color w:val="000000" w:themeColor="text1"/>
          <w:sz w:val="20"/>
          <w:szCs w:val="20"/>
        </w:rPr>
      </w:pPr>
    </w:p>
    <w:p w14:paraId="25298BF0" w14:textId="77777777" w:rsidR="003C0960" w:rsidRDefault="003C0960" w:rsidP="008813F9">
      <w:pPr>
        <w:pStyle w:val="NormalnyWeb"/>
        <w:spacing w:before="0" w:beforeAutospacing="0" w:after="0" w:afterAutospacing="0"/>
        <w:rPr>
          <w:rFonts w:ascii="Times New Roman" w:hAnsi="Times New Roman" w:cs="Times New Roman"/>
          <w:color w:val="000000" w:themeColor="text1"/>
          <w:sz w:val="20"/>
          <w:szCs w:val="20"/>
        </w:rPr>
      </w:pPr>
    </w:p>
    <w:p w14:paraId="210D2F26" w14:textId="77777777" w:rsidR="00CB4540" w:rsidRDefault="00CB4540" w:rsidP="008813F9">
      <w:pPr>
        <w:pStyle w:val="NormalnyWeb"/>
        <w:spacing w:before="0" w:beforeAutospacing="0" w:after="0" w:afterAutospacing="0"/>
        <w:rPr>
          <w:rFonts w:ascii="Times New Roman" w:hAnsi="Times New Roman" w:cs="Times New Roman"/>
          <w:color w:val="000000" w:themeColor="text1"/>
          <w:sz w:val="20"/>
          <w:szCs w:val="20"/>
        </w:rPr>
      </w:pPr>
    </w:p>
    <w:p w14:paraId="6C0D911C" w14:textId="77777777" w:rsidR="00CB4540" w:rsidRDefault="00CB4540" w:rsidP="008813F9">
      <w:pPr>
        <w:pStyle w:val="NormalnyWeb"/>
        <w:spacing w:before="0" w:beforeAutospacing="0" w:after="0" w:afterAutospacing="0"/>
        <w:rPr>
          <w:rFonts w:ascii="Times New Roman" w:hAnsi="Times New Roman" w:cs="Times New Roman"/>
          <w:color w:val="000000" w:themeColor="text1"/>
          <w:sz w:val="20"/>
          <w:szCs w:val="20"/>
        </w:rPr>
      </w:pPr>
    </w:p>
    <w:p w14:paraId="05F0696B" w14:textId="77777777" w:rsidR="00CB4540" w:rsidRDefault="00CB4540" w:rsidP="008813F9">
      <w:pPr>
        <w:pStyle w:val="NormalnyWeb"/>
        <w:spacing w:before="0" w:beforeAutospacing="0" w:after="0" w:afterAutospacing="0"/>
        <w:rPr>
          <w:rFonts w:ascii="Times New Roman" w:hAnsi="Times New Roman" w:cs="Times New Roman"/>
          <w:color w:val="000000" w:themeColor="text1"/>
          <w:sz w:val="20"/>
          <w:szCs w:val="20"/>
        </w:rPr>
      </w:pPr>
    </w:p>
    <w:p w14:paraId="371E807A" w14:textId="77777777" w:rsidR="00CB4540" w:rsidRDefault="00CB4540" w:rsidP="008813F9">
      <w:pPr>
        <w:pStyle w:val="NormalnyWeb"/>
        <w:spacing w:before="0" w:beforeAutospacing="0" w:after="0" w:afterAutospacing="0"/>
        <w:rPr>
          <w:rFonts w:ascii="Times New Roman" w:hAnsi="Times New Roman" w:cs="Times New Roman"/>
          <w:color w:val="000000" w:themeColor="text1"/>
          <w:sz w:val="20"/>
          <w:szCs w:val="20"/>
        </w:rPr>
      </w:pPr>
    </w:p>
    <w:p w14:paraId="6134014E" w14:textId="77777777" w:rsidR="00CB4540" w:rsidRDefault="00CB4540" w:rsidP="008813F9">
      <w:pPr>
        <w:pStyle w:val="NormalnyWeb"/>
        <w:spacing w:before="0" w:beforeAutospacing="0" w:after="0" w:afterAutospacing="0"/>
        <w:rPr>
          <w:rFonts w:ascii="Times New Roman" w:hAnsi="Times New Roman" w:cs="Times New Roman"/>
          <w:color w:val="000000" w:themeColor="text1"/>
          <w:sz w:val="20"/>
          <w:szCs w:val="20"/>
        </w:rPr>
      </w:pPr>
    </w:p>
    <w:p w14:paraId="0ED76655" w14:textId="77777777" w:rsidR="00CB4540" w:rsidRDefault="00CB4540" w:rsidP="008813F9">
      <w:pPr>
        <w:pStyle w:val="NormalnyWeb"/>
        <w:spacing w:before="0" w:beforeAutospacing="0" w:after="0" w:afterAutospacing="0"/>
        <w:rPr>
          <w:rFonts w:ascii="Times New Roman" w:hAnsi="Times New Roman" w:cs="Times New Roman"/>
          <w:color w:val="000000" w:themeColor="text1"/>
          <w:sz w:val="20"/>
          <w:szCs w:val="20"/>
        </w:rPr>
      </w:pPr>
    </w:p>
    <w:p w14:paraId="004007ED" w14:textId="77777777" w:rsidR="00CB4540" w:rsidRDefault="00CB4540" w:rsidP="008813F9">
      <w:pPr>
        <w:pStyle w:val="NormalnyWeb"/>
        <w:spacing w:before="0" w:beforeAutospacing="0" w:after="0" w:afterAutospacing="0"/>
        <w:rPr>
          <w:rFonts w:ascii="Times New Roman" w:hAnsi="Times New Roman" w:cs="Times New Roman"/>
          <w:color w:val="000000" w:themeColor="text1"/>
          <w:sz w:val="20"/>
          <w:szCs w:val="20"/>
        </w:rPr>
      </w:pPr>
    </w:p>
    <w:p w14:paraId="53F0D6B2" w14:textId="77777777" w:rsidR="00CB4540" w:rsidRDefault="00CB4540" w:rsidP="008813F9">
      <w:pPr>
        <w:pStyle w:val="NormalnyWeb"/>
        <w:spacing w:before="0" w:beforeAutospacing="0" w:after="0" w:afterAutospacing="0"/>
        <w:rPr>
          <w:rFonts w:ascii="Times New Roman" w:hAnsi="Times New Roman" w:cs="Times New Roman"/>
          <w:color w:val="000000" w:themeColor="text1"/>
          <w:sz w:val="20"/>
          <w:szCs w:val="20"/>
        </w:rPr>
      </w:pPr>
    </w:p>
    <w:p w14:paraId="389801F7" w14:textId="77777777" w:rsidR="00CB4540" w:rsidRDefault="00CB4540" w:rsidP="008813F9">
      <w:pPr>
        <w:pStyle w:val="NormalnyWeb"/>
        <w:spacing w:before="0" w:beforeAutospacing="0" w:after="0" w:afterAutospacing="0"/>
        <w:rPr>
          <w:rFonts w:ascii="Times New Roman" w:hAnsi="Times New Roman" w:cs="Times New Roman"/>
          <w:color w:val="000000" w:themeColor="text1"/>
          <w:sz w:val="20"/>
          <w:szCs w:val="20"/>
        </w:rPr>
      </w:pPr>
    </w:p>
    <w:p w14:paraId="47B6E0A5" w14:textId="3A7405B7" w:rsidR="00CB4540" w:rsidRDefault="003C0960" w:rsidP="008813F9">
      <w:pPr>
        <w:pStyle w:val="NormalnyWeb"/>
        <w:spacing w:before="0" w:beforeAutospacing="0" w:after="0" w:afterAutospacing="0"/>
        <w:rPr>
          <w:rFonts w:ascii="Times New Roman" w:hAnsi="Times New Roman" w:cs="Times New Roman"/>
          <w:color w:val="000000" w:themeColor="text1"/>
          <w:sz w:val="20"/>
          <w:szCs w:val="20"/>
        </w:rPr>
      </w:pPr>
      <w:r w:rsidRPr="00CB4540">
        <w:rPr>
          <w:rFonts w:ascii="Times New Roman" w:hAnsi="Times New Roman"/>
          <w:color w:val="000000" w:themeColor="text1"/>
          <w:sz w:val="18"/>
          <w:szCs w:val="18"/>
          <w:lang w:val="en-US"/>
        </w:rPr>
        <w:t>Figure 9. Location of constrained point-source industrial sites by 2050</w:t>
      </w:r>
      <w:r w:rsidR="00E71B77">
        <w:rPr>
          <w:rFonts w:ascii="Times New Roman" w:hAnsi="Times New Roman"/>
          <w:color w:val="000000" w:themeColor="text1"/>
          <w:sz w:val="18"/>
          <w:szCs w:val="18"/>
          <w:lang w:val="en-US"/>
        </w:rPr>
        <w:t xml:space="preserve"> </w:t>
      </w:r>
      <w:r w:rsidRPr="00CB4540">
        <w:rPr>
          <w:rFonts w:ascii="Times New Roman" w:hAnsi="Times New Roman"/>
          <w:color w:val="000000" w:themeColor="text1"/>
          <w:sz w:val="18"/>
          <w:szCs w:val="18"/>
          <w:lang w:val="en-US"/>
        </w:rPr>
        <w:t>(by sector), source: own elaboration</w:t>
      </w:r>
    </w:p>
    <w:p w14:paraId="1E3EBE0B" w14:textId="77777777" w:rsidR="00CB4540" w:rsidRDefault="00CB4540" w:rsidP="008813F9">
      <w:pPr>
        <w:pStyle w:val="NormalnyWeb"/>
        <w:spacing w:before="0" w:beforeAutospacing="0" w:after="0" w:afterAutospacing="0"/>
        <w:rPr>
          <w:rFonts w:ascii="Times New Roman" w:hAnsi="Times New Roman" w:cs="Times New Roman"/>
          <w:color w:val="000000" w:themeColor="text1"/>
          <w:sz w:val="20"/>
          <w:szCs w:val="20"/>
        </w:rPr>
      </w:pPr>
    </w:p>
    <w:p w14:paraId="3A8B304B" w14:textId="77777777" w:rsidR="00CB4540" w:rsidRDefault="00CB4540" w:rsidP="00CB4540">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These effects are visualized in Figure 10, which illustrates how constraint levels vary by site location type.</w:t>
      </w:r>
    </w:p>
    <w:p w14:paraId="6B1A17B0" w14:textId="77777777" w:rsidR="003C0960" w:rsidRDefault="003C0960" w:rsidP="00CB4540">
      <w:pPr>
        <w:spacing w:after="0" w:line="240" w:lineRule="auto"/>
        <w:jc w:val="center"/>
        <w:rPr>
          <w:rFonts w:ascii="Times New Roman" w:hAnsi="Times New Roman"/>
          <w:color w:val="000000" w:themeColor="text1"/>
          <w:sz w:val="20"/>
          <w:szCs w:val="20"/>
          <w:lang w:val="en-US"/>
        </w:rPr>
      </w:pPr>
    </w:p>
    <w:p w14:paraId="2739CF3C" w14:textId="2F124627" w:rsidR="00CB4540" w:rsidRPr="008813F9" w:rsidRDefault="00CB4540" w:rsidP="00CB4540">
      <w:pPr>
        <w:spacing w:after="0" w:line="240" w:lineRule="auto"/>
        <w:jc w:val="center"/>
        <w:rPr>
          <w:rFonts w:ascii="Times New Roman" w:hAnsi="Times New Roman"/>
          <w:color w:val="000000" w:themeColor="text1"/>
          <w:sz w:val="20"/>
          <w:szCs w:val="20"/>
          <w:lang w:val="en-US"/>
        </w:rPr>
      </w:pPr>
      <w:r w:rsidRPr="008813F9">
        <w:rPr>
          <w:rFonts w:ascii="Times New Roman" w:hAnsi="Times New Roman"/>
          <w:noProof/>
          <w:color w:val="000000" w:themeColor="text1"/>
          <w:sz w:val="20"/>
          <w:szCs w:val="20"/>
        </w:rPr>
        <w:drawing>
          <wp:inline distT="0" distB="0" distL="0" distR="0" wp14:anchorId="0AAF996E" wp14:editId="3D566A03">
            <wp:extent cx="5067300" cy="2590800"/>
            <wp:effectExtent l="0" t="0" r="0" b="0"/>
            <wp:docPr id="24" name="Image 24" descr="Bar chart showing location type (urban, suburban, remote) of constrained point-source industrial sites by 2050 in Ch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4" descr="Bar chart showing location type (urban, suburban, remote) of constrained point-source industrial sites by 2050 in China"/>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5555"/>
                    <a:stretch>
                      <a:fillRect/>
                    </a:stretch>
                  </pic:blipFill>
                  <pic:spPr bwMode="auto">
                    <a:xfrm>
                      <a:off x="0" y="0"/>
                      <a:ext cx="5067300" cy="2590800"/>
                    </a:xfrm>
                    <a:prstGeom prst="rect">
                      <a:avLst/>
                    </a:prstGeom>
                    <a:noFill/>
                    <a:ln>
                      <a:noFill/>
                    </a:ln>
                    <a:extLst>
                      <a:ext uri="{53640926-AAD7-44D8-BBD7-CCE9431645EC}">
                        <a14:shadowObscured xmlns:a14="http://schemas.microsoft.com/office/drawing/2010/main"/>
                      </a:ext>
                    </a:extLst>
                  </pic:spPr>
                </pic:pic>
              </a:graphicData>
            </a:graphic>
          </wp:inline>
        </w:drawing>
      </w:r>
    </w:p>
    <w:p w14:paraId="630BACC0" w14:textId="77777777" w:rsidR="003C0960" w:rsidRPr="00CB4540" w:rsidRDefault="003C0960" w:rsidP="003C0960">
      <w:pPr>
        <w:spacing w:after="0" w:line="240" w:lineRule="auto"/>
        <w:jc w:val="both"/>
        <w:rPr>
          <w:rFonts w:ascii="Times New Roman" w:hAnsi="Times New Roman"/>
          <w:color w:val="000000" w:themeColor="text1"/>
          <w:sz w:val="18"/>
          <w:szCs w:val="18"/>
          <w:lang w:val="en-US"/>
        </w:rPr>
      </w:pPr>
      <w:r w:rsidRPr="00CB4540">
        <w:rPr>
          <w:rFonts w:ascii="Times New Roman" w:hAnsi="Times New Roman"/>
          <w:color w:val="000000" w:themeColor="text1"/>
          <w:sz w:val="18"/>
          <w:szCs w:val="18"/>
          <w:lang w:val="en-US"/>
        </w:rPr>
        <w:t>Figure 10. Location type of constrained point-source industrial sites by 2050, source: own elaboration</w:t>
      </w:r>
    </w:p>
    <w:p w14:paraId="42BBD29A" w14:textId="77777777" w:rsidR="00CB4540" w:rsidRPr="00CB4540" w:rsidRDefault="00CB4540" w:rsidP="008813F9">
      <w:pPr>
        <w:pStyle w:val="NormalnyWeb"/>
        <w:spacing w:before="0" w:beforeAutospacing="0" w:after="0" w:afterAutospacing="0"/>
        <w:rPr>
          <w:rFonts w:ascii="Times New Roman" w:hAnsi="Times New Roman" w:cs="Times New Roman"/>
          <w:color w:val="000000" w:themeColor="text1"/>
          <w:sz w:val="20"/>
          <w:szCs w:val="20"/>
          <w:lang w:val="en-US"/>
        </w:rPr>
      </w:pPr>
    </w:p>
    <w:p w14:paraId="43CF458F" w14:textId="30390981" w:rsidR="008813F9" w:rsidRPr="008813F9" w:rsidRDefault="00CB4540" w:rsidP="008813F9">
      <w:pPr>
        <w:spacing w:after="0" w:line="240" w:lineRule="auto"/>
        <w:jc w:val="both"/>
        <w:rPr>
          <w:rFonts w:ascii="Times New Roman" w:hAnsi="Times New Roman"/>
          <w:color w:val="000000" w:themeColor="text1"/>
          <w:sz w:val="20"/>
          <w:szCs w:val="20"/>
          <w:lang w:val="en-US"/>
        </w:rPr>
      </w:pPr>
      <w:r>
        <w:rPr>
          <w:rFonts w:ascii="Times New Roman" w:hAnsi="Times New Roman"/>
          <w:color w:val="000000" w:themeColor="text1"/>
          <w:sz w:val="20"/>
          <w:szCs w:val="20"/>
          <w:lang w:val="en-US"/>
        </w:rPr>
        <w:t>T</w:t>
      </w:r>
      <w:r w:rsidR="008813F9" w:rsidRPr="008813F9">
        <w:rPr>
          <w:rFonts w:ascii="Times New Roman" w:hAnsi="Times New Roman"/>
          <w:color w:val="000000" w:themeColor="text1"/>
          <w:sz w:val="20"/>
          <w:szCs w:val="20"/>
          <w:lang w:val="en-US"/>
        </w:rPr>
        <w:t>his figure categorizes constrained sites by their geographic setting:</w:t>
      </w:r>
    </w:p>
    <w:p w14:paraId="01AC5173" w14:textId="77777777" w:rsidR="008813F9" w:rsidRPr="00CB4540" w:rsidRDefault="008813F9">
      <w:pPr>
        <w:numPr>
          <w:ilvl w:val="0"/>
          <w:numId w:val="25"/>
        </w:numPr>
        <w:spacing w:after="0" w:line="240" w:lineRule="auto"/>
        <w:jc w:val="both"/>
        <w:rPr>
          <w:rFonts w:ascii="Times New Roman" w:hAnsi="Times New Roman"/>
          <w:color w:val="000000" w:themeColor="text1"/>
          <w:sz w:val="20"/>
          <w:szCs w:val="20"/>
          <w:lang w:val="en-US"/>
        </w:rPr>
      </w:pPr>
      <w:r w:rsidRPr="00CB4540">
        <w:rPr>
          <w:rFonts w:ascii="Times New Roman" w:hAnsi="Times New Roman"/>
          <w:b/>
          <w:bCs/>
          <w:color w:val="000000" w:themeColor="text1"/>
          <w:sz w:val="20"/>
          <w:szCs w:val="20"/>
          <w:lang w:val="en-US"/>
        </w:rPr>
        <w:t>Suburban zones</w:t>
      </w:r>
      <w:r w:rsidRPr="00CB4540">
        <w:rPr>
          <w:rFonts w:ascii="Times New Roman" w:hAnsi="Times New Roman"/>
          <w:color w:val="000000" w:themeColor="text1"/>
          <w:sz w:val="20"/>
          <w:szCs w:val="20"/>
          <w:lang w:val="en-US"/>
        </w:rPr>
        <w:t xml:space="preserve"> record the highest number of constraints (</w:t>
      </w:r>
      <w:r w:rsidRPr="00CB4540">
        <w:rPr>
          <w:rFonts w:ascii="Times New Roman" w:hAnsi="Times New Roman"/>
          <w:b/>
          <w:bCs/>
          <w:color w:val="000000" w:themeColor="text1"/>
          <w:sz w:val="20"/>
          <w:szCs w:val="20"/>
          <w:lang w:val="en-US"/>
        </w:rPr>
        <w:t>160 sites</w:t>
      </w:r>
      <w:r w:rsidRPr="00CB4540">
        <w:rPr>
          <w:rFonts w:ascii="Times New Roman" w:hAnsi="Times New Roman"/>
          <w:color w:val="000000" w:themeColor="text1"/>
          <w:sz w:val="20"/>
          <w:szCs w:val="20"/>
          <w:lang w:val="en-US"/>
        </w:rPr>
        <w:t>), due to rapid industrial sprawl outpacing local grid capacity.</w:t>
      </w:r>
    </w:p>
    <w:p w14:paraId="4ABD5BBA" w14:textId="77777777" w:rsidR="008813F9" w:rsidRPr="00CB4540" w:rsidRDefault="008813F9">
      <w:pPr>
        <w:numPr>
          <w:ilvl w:val="0"/>
          <w:numId w:val="25"/>
        </w:numPr>
        <w:spacing w:after="0" w:line="240" w:lineRule="auto"/>
        <w:jc w:val="both"/>
        <w:rPr>
          <w:rFonts w:ascii="Times New Roman" w:hAnsi="Times New Roman"/>
          <w:color w:val="000000" w:themeColor="text1"/>
          <w:sz w:val="20"/>
          <w:szCs w:val="20"/>
          <w:lang w:val="en-US"/>
        </w:rPr>
      </w:pPr>
      <w:r w:rsidRPr="00CB4540">
        <w:rPr>
          <w:rFonts w:ascii="Times New Roman" w:hAnsi="Times New Roman"/>
          <w:b/>
          <w:bCs/>
          <w:color w:val="000000" w:themeColor="text1"/>
          <w:sz w:val="20"/>
          <w:szCs w:val="20"/>
          <w:lang w:val="en-US"/>
        </w:rPr>
        <w:t>Remote areas</w:t>
      </w:r>
      <w:r w:rsidRPr="00CB4540">
        <w:rPr>
          <w:rFonts w:ascii="Times New Roman" w:hAnsi="Times New Roman"/>
          <w:color w:val="000000" w:themeColor="text1"/>
          <w:sz w:val="20"/>
          <w:szCs w:val="20"/>
          <w:lang w:val="en-US"/>
        </w:rPr>
        <w:t xml:space="preserve"> (117 sites) face access limitations from core transmission networks, exacerbated by long-distance power losses.</w:t>
      </w:r>
    </w:p>
    <w:p w14:paraId="5D74DC31" w14:textId="77777777" w:rsidR="008813F9" w:rsidRPr="00CB4540" w:rsidRDefault="008813F9">
      <w:pPr>
        <w:numPr>
          <w:ilvl w:val="0"/>
          <w:numId w:val="25"/>
        </w:numPr>
        <w:spacing w:after="0" w:line="240" w:lineRule="auto"/>
        <w:jc w:val="both"/>
        <w:rPr>
          <w:rFonts w:ascii="Times New Roman" w:hAnsi="Times New Roman"/>
          <w:color w:val="000000" w:themeColor="text1"/>
          <w:sz w:val="20"/>
          <w:szCs w:val="20"/>
          <w:lang w:val="en-US"/>
        </w:rPr>
      </w:pPr>
      <w:r w:rsidRPr="00CB4540">
        <w:rPr>
          <w:rFonts w:ascii="Times New Roman" w:hAnsi="Times New Roman"/>
          <w:b/>
          <w:bCs/>
          <w:color w:val="000000" w:themeColor="text1"/>
          <w:sz w:val="20"/>
          <w:szCs w:val="20"/>
          <w:lang w:val="en-US"/>
        </w:rPr>
        <w:t>Urban zones</w:t>
      </w:r>
      <w:r w:rsidRPr="00CB4540">
        <w:rPr>
          <w:rFonts w:ascii="Times New Roman" w:hAnsi="Times New Roman"/>
          <w:color w:val="000000" w:themeColor="text1"/>
          <w:sz w:val="20"/>
          <w:szCs w:val="20"/>
          <w:lang w:val="en-US"/>
        </w:rPr>
        <w:t xml:space="preserve"> (95 sites), though better connected, still encounter constraints driven by </w:t>
      </w:r>
      <w:r w:rsidRPr="00CB4540">
        <w:rPr>
          <w:rFonts w:ascii="Times New Roman" w:hAnsi="Times New Roman"/>
          <w:b/>
          <w:bCs/>
          <w:color w:val="000000" w:themeColor="text1"/>
          <w:sz w:val="20"/>
          <w:szCs w:val="20"/>
          <w:lang w:val="en-US"/>
        </w:rPr>
        <w:t>high demand density</w:t>
      </w:r>
      <w:r w:rsidRPr="00CB4540">
        <w:rPr>
          <w:rFonts w:ascii="Times New Roman" w:hAnsi="Times New Roman"/>
          <w:color w:val="000000" w:themeColor="text1"/>
          <w:sz w:val="20"/>
          <w:szCs w:val="20"/>
          <w:lang w:val="en-US"/>
        </w:rPr>
        <w:t xml:space="preserve"> and aging infrastructure.</w:t>
      </w:r>
    </w:p>
    <w:p w14:paraId="67302AAD"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This spatial pattern highlights the vulnerability of suburban industrial belts, which often fall between urban grid resilience and rural transmission investment. Addressing these gaps will require a mix of smart distribution systems, substation upgrades, and strategic site planning.</w:t>
      </w:r>
    </w:p>
    <w:p w14:paraId="0DACD9FD" w14:textId="77777777" w:rsidR="00CB4540" w:rsidRDefault="00CB4540" w:rsidP="008813F9">
      <w:pPr>
        <w:spacing w:after="0" w:line="240" w:lineRule="auto"/>
        <w:jc w:val="both"/>
        <w:rPr>
          <w:rFonts w:ascii="Times New Roman" w:hAnsi="Times New Roman"/>
          <w:b/>
          <w:bCs/>
          <w:i/>
          <w:iCs/>
          <w:color w:val="000000" w:themeColor="text1"/>
          <w:sz w:val="20"/>
          <w:szCs w:val="20"/>
          <w:lang w:val="en-US"/>
        </w:rPr>
      </w:pPr>
    </w:p>
    <w:p w14:paraId="3DE217BF" w14:textId="39076DF3" w:rsidR="008813F9" w:rsidRPr="00571506" w:rsidRDefault="00CB4540" w:rsidP="008813F9">
      <w:pPr>
        <w:spacing w:after="0" w:line="240" w:lineRule="auto"/>
        <w:jc w:val="both"/>
        <w:rPr>
          <w:rFonts w:ascii="Times New Roman" w:hAnsi="Times New Roman"/>
          <w:i/>
          <w:iCs/>
          <w:color w:val="000000" w:themeColor="text1"/>
          <w:sz w:val="20"/>
          <w:szCs w:val="20"/>
          <w:lang w:val="en-US"/>
        </w:rPr>
      </w:pPr>
      <w:r w:rsidRPr="00571506">
        <w:rPr>
          <w:rFonts w:ascii="Times New Roman" w:hAnsi="Times New Roman"/>
          <w:i/>
          <w:iCs/>
          <w:color w:val="000000" w:themeColor="text1"/>
          <w:sz w:val="20"/>
          <w:szCs w:val="20"/>
          <w:lang w:val="en-US"/>
        </w:rPr>
        <w:t>5</w:t>
      </w:r>
      <w:r w:rsidR="008813F9" w:rsidRPr="00571506">
        <w:rPr>
          <w:rFonts w:ascii="Times New Roman" w:hAnsi="Times New Roman"/>
          <w:i/>
          <w:iCs/>
          <w:color w:val="000000" w:themeColor="text1"/>
          <w:sz w:val="20"/>
          <w:szCs w:val="20"/>
          <w:lang w:val="en-US"/>
        </w:rPr>
        <w:t xml:space="preserve">.3. Summary of the total capacity needed to enable industrial </w:t>
      </w:r>
      <w:proofErr w:type="spellStart"/>
      <w:r w:rsidR="008813F9" w:rsidRPr="00571506">
        <w:rPr>
          <w:rFonts w:ascii="Times New Roman" w:hAnsi="Times New Roman"/>
          <w:i/>
          <w:iCs/>
          <w:color w:val="000000" w:themeColor="text1"/>
          <w:sz w:val="20"/>
          <w:szCs w:val="20"/>
          <w:lang w:val="en-US"/>
        </w:rPr>
        <w:t>dec</w:t>
      </w:r>
      <w:r w:rsidR="00571506" w:rsidRPr="00571506">
        <w:rPr>
          <w:rFonts w:ascii="Times New Roman" w:hAnsi="Times New Roman"/>
          <w:i/>
          <w:iCs/>
          <w:color w:val="000000" w:themeColor="text1"/>
          <w:sz w:val="20"/>
          <w:szCs w:val="20"/>
          <w:lang w:val="en-US"/>
        </w:rPr>
        <w:t>a</w:t>
      </w:r>
      <w:r w:rsidR="008813F9" w:rsidRPr="00571506">
        <w:rPr>
          <w:rFonts w:ascii="Times New Roman" w:hAnsi="Times New Roman"/>
          <w:i/>
          <w:iCs/>
          <w:color w:val="000000" w:themeColor="text1"/>
          <w:sz w:val="20"/>
          <w:szCs w:val="20"/>
          <w:lang w:val="en-US"/>
        </w:rPr>
        <w:t>rb</w:t>
      </w:r>
      <w:r w:rsidRPr="00571506">
        <w:rPr>
          <w:rFonts w:ascii="Times New Roman" w:hAnsi="Times New Roman"/>
          <w:i/>
          <w:iCs/>
          <w:color w:val="000000" w:themeColor="text1"/>
          <w:sz w:val="20"/>
          <w:szCs w:val="20"/>
          <w:lang w:val="en-US"/>
        </w:rPr>
        <w:t>a</w:t>
      </w:r>
      <w:r w:rsidR="008813F9" w:rsidRPr="00571506">
        <w:rPr>
          <w:rFonts w:ascii="Times New Roman" w:hAnsi="Times New Roman"/>
          <w:i/>
          <w:iCs/>
          <w:color w:val="000000" w:themeColor="text1"/>
          <w:sz w:val="20"/>
          <w:szCs w:val="20"/>
          <w:lang w:val="en-US"/>
        </w:rPr>
        <w:t>nisation</w:t>
      </w:r>
      <w:proofErr w:type="spellEnd"/>
    </w:p>
    <w:p w14:paraId="25B5DF9E" w14:textId="77777777" w:rsid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lastRenderedPageBreak/>
        <w:t>Based on the simulation outputs and spatial constraint mapping, achieving full industrial decarbonization in China by 2050 will require substantial expansion and reconfiguration of electricity infrastructure across all major industrial zones.</w:t>
      </w:r>
    </w:p>
    <w:p w14:paraId="5E0C9FB8" w14:textId="77777777" w:rsidR="00571506" w:rsidRDefault="00571506" w:rsidP="008813F9">
      <w:pPr>
        <w:spacing w:after="0" w:line="240" w:lineRule="auto"/>
        <w:jc w:val="both"/>
        <w:rPr>
          <w:rFonts w:ascii="Times New Roman" w:hAnsi="Times New Roman"/>
          <w:color w:val="000000" w:themeColor="text1"/>
          <w:sz w:val="20"/>
          <w:szCs w:val="20"/>
          <w:lang w:val="en-US"/>
        </w:rPr>
      </w:pPr>
    </w:p>
    <w:p w14:paraId="4D507316" w14:textId="77777777" w:rsidR="008813F9" w:rsidRPr="008813F9" w:rsidRDefault="008813F9" w:rsidP="008813F9">
      <w:pPr>
        <w:spacing w:after="0" w:line="240" w:lineRule="auto"/>
        <w:jc w:val="both"/>
        <w:rPr>
          <w:rFonts w:ascii="Times New Roman" w:hAnsi="Times New Roman"/>
          <w:color w:val="000000" w:themeColor="text1"/>
          <w:sz w:val="20"/>
          <w:szCs w:val="20"/>
        </w:rPr>
      </w:pPr>
      <w:proofErr w:type="spellStart"/>
      <w:r w:rsidRPr="008813F9">
        <w:rPr>
          <w:rFonts w:ascii="Times New Roman" w:hAnsi="Times New Roman"/>
          <w:color w:val="000000" w:themeColor="text1"/>
          <w:sz w:val="20"/>
          <w:szCs w:val="20"/>
        </w:rPr>
        <w:t>Specifically</w:t>
      </w:r>
      <w:proofErr w:type="spellEnd"/>
      <w:r w:rsidRPr="008813F9">
        <w:rPr>
          <w:rFonts w:ascii="Times New Roman" w:hAnsi="Times New Roman"/>
          <w:color w:val="000000" w:themeColor="text1"/>
          <w:sz w:val="20"/>
          <w:szCs w:val="20"/>
        </w:rPr>
        <w:t>:</w:t>
      </w:r>
    </w:p>
    <w:p w14:paraId="225BDFCC" w14:textId="77777777" w:rsidR="008813F9" w:rsidRPr="00571506" w:rsidRDefault="008813F9">
      <w:pPr>
        <w:numPr>
          <w:ilvl w:val="0"/>
          <w:numId w:val="26"/>
        </w:numPr>
        <w:spacing w:after="0" w:line="240" w:lineRule="auto"/>
        <w:jc w:val="both"/>
        <w:rPr>
          <w:rFonts w:ascii="Times New Roman" w:hAnsi="Times New Roman"/>
          <w:color w:val="000000" w:themeColor="text1"/>
          <w:sz w:val="20"/>
          <w:szCs w:val="20"/>
          <w:lang w:val="en-US"/>
        </w:rPr>
      </w:pPr>
      <w:r w:rsidRPr="00571506">
        <w:rPr>
          <w:rFonts w:ascii="Times New Roman" w:hAnsi="Times New Roman"/>
          <w:color w:val="000000" w:themeColor="text1"/>
          <w:sz w:val="20"/>
          <w:szCs w:val="20"/>
          <w:lang w:val="en-US"/>
        </w:rPr>
        <w:t xml:space="preserve">The </w:t>
      </w:r>
      <w:r w:rsidRPr="00571506">
        <w:rPr>
          <w:rFonts w:ascii="Times New Roman" w:hAnsi="Times New Roman"/>
          <w:b/>
          <w:bCs/>
          <w:color w:val="000000" w:themeColor="text1"/>
          <w:sz w:val="20"/>
          <w:szCs w:val="20"/>
          <w:lang w:val="en-US"/>
        </w:rPr>
        <w:t>Balanced Decarbonization</w:t>
      </w:r>
      <w:r w:rsidRPr="00571506">
        <w:rPr>
          <w:rFonts w:ascii="Times New Roman" w:hAnsi="Times New Roman"/>
          <w:color w:val="000000" w:themeColor="text1"/>
          <w:sz w:val="20"/>
          <w:szCs w:val="20"/>
          <w:lang w:val="en-US"/>
        </w:rPr>
        <w:t xml:space="preserve"> scenario necessitates an estimated </w:t>
      </w:r>
      <w:r w:rsidRPr="00571506">
        <w:rPr>
          <w:rFonts w:ascii="Times New Roman" w:hAnsi="Times New Roman"/>
          <w:b/>
          <w:bCs/>
          <w:color w:val="000000" w:themeColor="text1"/>
          <w:sz w:val="20"/>
          <w:szCs w:val="20"/>
          <w:lang w:val="en-US"/>
        </w:rPr>
        <w:t>670 GW</w:t>
      </w:r>
      <w:r w:rsidRPr="00571506">
        <w:rPr>
          <w:rFonts w:ascii="Times New Roman" w:hAnsi="Times New Roman"/>
          <w:color w:val="000000" w:themeColor="text1"/>
          <w:sz w:val="20"/>
          <w:szCs w:val="20"/>
          <w:lang w:val="en-US"/>
        </w:rPr>
        <w:t xml:space="preserve"> of new or redirected electricity capacity.</w:t>
      </w:r>
    </w:p>
    <w:p w14:paraId="39A54F8E" w14:textId="77777777" w:rsidR="008813F9" w:rsidRPr="00571506" w:rsidRDefault="008813F9">
      <w:pPr>
        <w:numPr>
          <w:ilvl w:val="0"/>
          <w:numId w:val="26"/>
        </w:numPr>
        <w:spacing w:after="0" w:line="240" w:lineRule="auto"/>
        <w:jc w:val="both"/>
        <w:rPr>
          <w:rFonts w:ascii="Times New Roman" w:hAnsi="Times New Roman"/>
          <w:color w:val="000000" w:themeColor="text1"/>
          <w:sz w:val="20"/>
          <w:szCs w:val="20"/>
          <w:lang w:val="en-US"/>
        </w:rPr>
      </w:pPr>
      <w:r w:rsidRPr="00571506">
        <w:rPr>
          <w:rFonts w:ascii="Times New Roman" w:hAnsi="Times New Roman"/>
          <w:color w:val="000000" w:themeColor="text1"/>
          <w:sz w:val="20"/>
          <w:szCs w:val="20"/>
          <w:lang w:val="en-US"/>
        </w:rPr>
        <w:t xml:space="preserve">The more ambitious </w:t>
      </w:r>
      <w:r w:rsidRPr="00571506">
        <w:rPr>
          <w:rFonts w:ascii="Times New Roman" w:hAnsi="Times New Roman"/>
          <w:b/>
          <w:bCs/>
          <w:color w:val="000000" w:themeColor="text1"/>
          <w:sz w:val="20"/>
          <w:szCs w:val="20"/>
          <w:lang w:val="en-US"/>
        </w:rPr>
        <w:t>Max Electrification</w:t>
      </w:r>
      <w:r w:rsidRPr="00571506">
        <w:rPr>
          <w:rFonts w:ascii="Times New Roman" w:hAnsi="Times New Roman"/>
          <w:color w:val="000000" w:themeColor="text1"/>
          <w:sz w:val="20"/>
          <w:szCs w:val="20"/>
          <w:lang w:val="en-US"/>
        </w:rPr>
        <w:t xml:space="preserve"> scenario increases this requirement to approximately </w:t>
      </w:r>
      <w:r w:rsidRPr="00571506">
        <w:rPr>
          <w:rFonts w:ascii="Times New Roman" w:hAnsi="Times New Roman"/>
          <w:b/>
          <w:bCs/>
          <w:color w:val="000000" w:themeColor="text1"/>
          <w:sz w:val="20"/>
          <w:szCs w:val="20"/>
          <w:lang w:val="en-US"/>
        </w:rPr>
        <w:t>850 GW</w:t>
      </w:r>
      <w:r w:rsidRPr="00571506">
        <w:rPr>
          <w:rFonts w:ascii="Times New Roman" w:hAnsi="Times New Roman"/>
          <w:color w:val="000000" w:themeColor="text1"/>
          <w:sz w:val="20"/>
          <w:szCs w:val="20"/>
          <w:lang w:val="en-US"/>
        </w:rPr>
        <w:t>.</w:t>
      </w:r>
    </w:p>
    <w:p w14:paraId="15E9C824"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These totals account for both point-source industrial clusters and distributed enterprise demand, including small and medium-sized industrial facilities.</w:t>
      </w:r>
    </w:p>
    <w:p w14:paraId="44AFC07B"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A breakdown of the infrastructure implications reveals the following:</w:t>
      </w:r>
    </w:p>
    <w:p w14:paraId="2577F964" w14:textId="77777777" w:rsidR="008813F9" w:rsidRPr="00571506" w:rsidRDefault="008813F9">
      <w:pPr>
        <w:numPr>
          <w:ilvl w:val="0"/>
          <w:numId w:val="27"/>
        </w:numPr>
        <w:spacing w:after="0" w:line="240" w:lineRule="auto"/>
        <w:jc w:val="both"/>
        <w:rPr>
          <w:rFonts w:ascii="Times New Roman" w:hAnsi="Times New Roman"/>
          <w:color w:val="000000" w:themeColor="text1"/>
          <w:sz w:val="20"/>
          <w:szCs w:val="20"/>
          <w:lang w:val="en-US"/>
        </w:rPr>
      </w:pPr>
      <w:r w:rsidRPr="00571506">
        <w:rPr>
          <w:rFonts w:ascii="Times New Roman" w:hAnsi="Times New Roman"/>
          <w:b/>
          <w:bCs/>
          <w:color w:val="000000" w:themeColor="text1"/>
          <w:sz w:val="20"/>
          <w:szCs w:val="20"/>
          <w:lang w:val="en-US"/>
        </w:rPr>
        <w:t>42%</w:t>
      </w:r>
      <w:r w:rsidRPr="00571506">
        <w:rPr>
          <w:rFonts w:ascii="Times New Roman" w:hAnsi="Times New Roman"/>
          <w:color w:val="000000" w:themeColor="text1"/>
          <w:sz w:val="20"/>
          <w:szCs w:val="20"/>
          <w:lang w:val="en-US"/>
        </w:rPr>
        <w:t xml:space="preserve"> of the total capacity must be delivered through </w:t>
      </w:r>
      <w:r w:rsidRPr="00571506">
        <w:rPr>
          <w:rFonts w:ascii="Times New Roman" w:hAnsi="Times New Roman"/>
          <w:b/>
          <w:bCs/>
          <w:color w:val="000000" w:themeColor="text1"/>
          <w:sz w:val="20"/>
          <w:szCs w:val="20"/>
          <w:lang w:val="en-US"/>
        </w:rPr>
        <w:t>substation upgrades</w:t>
      </w:r>
      <w:r w:rsidRPr="00571506">
        <w:rPr>
          <w:rFonts w:ascii="Times New Roman" w:hAnsi="Times New Roman"/>
          <w:color w:val="000000" w:themeColor="text1"/>
          <w:sz w:val="20"/>
          <w:szCs w:val="20"/>
          <w:lang w:val="en-US"/>
        </w:rPr>
        <w:t>, primarily in high-density industrial belts.</w:t>
      </w:r>
    </w:p>
    <w:p w14:paraId="06A7287B" w14:textId="77777777" w:rsidR="008813F9" w:rsidRPr="00571506" w:rsidRDefault="008813F9">
      <w:pPr>
        <w:numPr>
          <w:ilvl w:val="0"/>
          <w:numId w:val="27"/>
        </w:numPr>
        <w:spacing w:after="0" w:line="240" w:lineRule="auto"/>
        <w:jc w:val="both"/>
        <w:rPr>
          <w:rFonts w:ascii="Times New Roman" w:hAnsi="Times New Roman"/>
          <w:color w:val="000000" w:themeColor="text1"/>
          <w:sz w:val="20"/>
          <w:szCs w:val="20"/>
          <w:lang w:val="en-US"/>
        </w:rPr>
      </w:pPr>
      <w:r w:rsidRPr="00571506">
        <w:rPr>
          <w:rFonts w:ascii="Times New Roman" w:hAnsi="Times New Roman"/>
          <w:b/>
          <w:bCs/>
          <w:color w:val="000000" w:themeColor="text1"/>
          <w:sz w:val="20"/>
          <w:szCs w:val="20"/>
          <w:lang w:val="en-US"/>
        </w:rPr>
        <w:t>34%</w:t>
      </w:r>
      <w:r w:rsidRPr="00571506">
        <w:rPr>
          <w:rFonts w:ascii="Times New Roman" w:hAnsi="Times New Roman"/>
          <w:color w:val="000000" w:themeColor="text1"/>
          <w:sz w:val="20"/>
          <w:szCs w:val="20"/>
          <w:lang w:val="en-US"/>
        </w:rPr>
        <w:t xml:space="preserve"> must come from </w:t>
      </w:r>
      <w:r w:rsidRPr="00571506">
        <w:rPr>
          <w:rFonts w:ascii="Times New Roman" w:hAnsi="Times New Roman"/>
          <w:b/>
          <w:bCs/>
          <w:color w:val="000000" w:themeColor="text1"/>
          <w:sz w:val="20"/>
          <w:szCs w:val="20"/>
          <w:lang w:val="en-US"/>
        </w:rPr>
        <w:t>transmission network reinforcement</w:t>
      </w:r>
      <w:r w:rsidRPr="00571506">
        <w:rPr>
          <w:rFonts w:ascii="Times New Roman" w:hAnsi="Times New Roman"/>
          <w:color w:val="000000" w:themeColor="text1"/>
          <w:sz w:val="20"/>
          <w:szCs w:val="20"/>
          <w:lang w:val="en-US"/>
        </w:rPr>
        <w:t>, especially in provinces where long-distance electricity routing is critical.</w:t>
      </w:r>
    </w:p>
    <w:p w14:paraId="55C89E2B" w14:textId="77777777" w:rsidR="008813F9" w:rsidRPr="00571506" w:rsidRDefault="008813F9">
      <w:pPr>
        <w:numPr>
          <w:ilvl w:val="0"/>
          <w:numId w:val="27"/>
        </w:numPr>
        <w:spacing w:after="0" w:line="240" w:lineRule="auto"/>
        <w:jc w:val="both"/>
        <w:rPr>
          <w:rFonts w:ascii="Times New Roman" w:hAnsi="Times New Roman"/>
          <w:color w:val="000000" w:themeColor="text1"/>
          <w:sz w:val="20"/>
          <w:szCs w:val="20"/>
          <w:lang w:val="en-US"/>
        </w:rPr>
      </w:pPr>
      <w:r w:rsidRPr="00571506">
        <w:rPr>
          <w:rFonts w:ascii="Times New Roman" w:hAnsi="Times New Roman"/>
          <w:color w:val="000000" w:themeColor="text1"/>
          <w:sz w:val="20"/>
          <w:szCs w:val="20"/>
          <w:lang w:val="en-US"/>
        </w:rPr>
        <w:t xml:space="preserve">The remaining </w:t>
      </w:r>
      <w:r w:rsidRPr="00571506">
        <w:rPr>
          <w:rFonts w:ascii="Times New Roman" w:hAnsi="Times New Roman"/>
          <w:b/>
          <w:bCs/>
          <w:color w:val="000000" w:themeColor="text1"/>
          <w:sz w:val="20"/>
          <w:szCs w:val="20"/>
          <w:lang w:val="en-US"/>
        </w:rPr>
        <w:t>24%</w:t>
      </w:r>
      <w:r w:rsidRPr="00571506">
        <w:rPr>
          <w:rFonts w:ascii="Times New Roman" w:hAnsi="Times New Roman"/>
          <w:color w:val="000000" w:themeColor="text1"/>
          <w:sz w:val="20"/>
          <w:szCs w:val="20"/>
          <w:lang w:val="en-US"/>
        </w:rPr>
        <w:t xml:space="preserve"> could be addressed through </w:t>
      </w:r>
      <w:r w:rsidRPr="00571506">
        <w:rPr>
          <w:rFonts w:ascii="Times New Roman" w:hAnsi="Times New Roman"/>
          <w:b/>
          <w:bCs/>
          <w:color w:val="000000" w:themeColor="text1"/>
          <w:sz w:val="20"/>
          <w:szCs w:val="20"/>
          <w:lang w:val="en-US"/>
        </w:rPr>
        <w:t>distributed energy resources (DERs)</w:t>
      </w:r>
      <w:r w:rsidRPr="00571506">
        <w:rPr>
          <w:rFonts w:ascii="Times New Roman" w:hAnsi="Times New Roman"/>
          <w:color w:val="000000" w:themeColor="text1"/>
          <w:sz w:val="20"/>
          <w:szCs w:val="20"/>
          <w:lang w:val="en-US"/>
        </w:rPr>
        <w:t xml:space="preserve">, </w:t>
      </w:r>
      <w:r w:rsidRPr="00571506">
        <w:rPr>
          <w:rFonts w:ascii="Times New Roman" w:hAnsi="Times New Roman"/>
          <w:b/>
          <w:bCs/>
          <w:color w:val="000000" w:themeColor="text1"/>
          <w:sz w:val="20"/>
          <w:szCs w:val="20"/>
          <w:lang w:val="en-US"/>
        </w:rPr>
        <w:t>smart grids</w:t>
      </w:r>
      <w:r w:rsidRPr="00571506">
        <w:rPr>
          <w:rFonts w:ascii="Times New Roman" w:hAnsi="Times New Roman"/>
          <w:color w:val="000000" w:themeColor="text1"/>
          <w:sz w:val="20"/>
          <w:szCs w:val="20"/>
          <w:lang w:val="en-US"/>
        </w:rPr>
        <w:t xml:space="preserve">, and </w:t>
      </w:r>
      <w:r w:rsidRPr="00571506">
        <w:rPr>
          <w:rFonts w:ascii="Times New Roman" w:hAnsi="Times New Roman"/>
          <w:b/>
          <w:bCs/>
          <w:color w:val="000000" w:themeColor="text1"/>
          <w:sz w:val="20"/>
          <w:szCs w:val="20"/>
          <w:lang w:val="en-US"/>
        </w:rPr>
        <w:t>behind-the-meter solutions</w:t>
      </w:r>
      <w:r w:rsidRPr="00571506">
        <w:rPr>
          <w:rFonts w:ascii="Times New Roman" w:hAnsi="Times New Roman"/>
          <w:color w:val="000000" w:themeColor="text1"/>
          <w:sz w:val="20"/>
          <w:szCs w:val="20"/>
          <w:lang w:val="en-US"/>
        </w:rPr>
        <w:t>, such as local microgrids or industrial energy storage systems.</w:t>
      </w:r>
    </w:p>
    <w:p w14:paraId="0C68CD43" w14:textId="509FE676"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These findings demonstrate that industrial decarbonization is not solely a matter of electrification technology adoption</w:t>
      </w:r>
      <w:r w:rsidR="00571506">
        <w:rPr>
          <w:rFonts w:ascii="Times New Roman" w:hAnsi="Times New Roman"/>
          <w:color w:val="000000" w:themeColor="text1"/>
          <w:sz w:val="20"/>
          <w:szCs w:val="20"/>
          <w:lang w:val="en-US"/>
        </w:rPr>
        <w:t xml:space="preserve"> – i</w:t>
      </w:r>
      <w:r w:rsidRPr="008813F9">
        <w:rPr>
          <w:rFonts w:ascii="Times New Roman" w:hAnsi="Times New Roman"/>
          <w:color w:val="000000" w:themeColor="text1"/>
          <w:sz w:val="20"/>
          <w:szCs w:val="20"/>
          <w:lang w:val="en-US"/>
        </w:rPr>
        <w:t>t also requires deep coordination between energy infrastructure planning and industrial policy. Specifically, State Grid Corporation of China, regional development banks, and major industrial actors must align their investment timelines to ensure that network readiness keeps pace with decarbonization ambition.</w:t>
      </w:r>
    </w:p>
    <w:p w14:paraId="2B973D90"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This integrated approach will be essential to preventing energy-access bottlenecks, avoiding emissions lock-in, and ensuring cost-effective electrification across China's diverse industrial landscape.</w:t>
      </w:r>
    </w:p>
    <w:p w14:paraId="5E412E68" w14:textId="77777777" w:rsidR="00571506" w:rsidRDefault="00571506" w:rsidP="008813F9">
      <w:pPr>
        <w:spacing w:after="0" w:line="240" w:lineRule="auto"/>
        <w:jc w:val="both"/>
        <w:rPr>
          <w:rFonts w:ascii="Times New Roman" w:hAnsi="Times New Roman"/>
          <w:b/>
          <w:bCs/>
          <w:i/>
          <w:iCs/>
          <w:color w:val="000000" w:themeColor="text1"/>
          <w:sz w:val="20"/>
          <w:szCs w:val="20"/>
          <w:lang w:val="en-US"/>
        </w:rPr>
      </w:pPr>
    </w:p>
    <w:p w14:paraId="642175F5" w14:textId="26F69F12" w:rsidR="008813F9" w:rsidRPr="00571506" w:rsidRDefault="00571506" w:rsidP="008813F9">
      <w:pPr>
        <w:spacing w:after="0" w:line="240" w:lineRule="auto"/>
        <w:jc w:val="both"/>
        <w:rPr>
          <w:rFonts w:ascii="Times New Roman" w:hAnsi="Times New Roman"/>
          <w:i/>
          <w:iCs/>
          <w:color w:val="000000" w:themeColor="text1"/>
          <w:sz w:val="20"/>
          <w:szCs w:val="20"/>
          <w:lang w:val="en-US"/>
        </w:rPr>
      </w:pPr>
      <w:r w:rsidRPr="00571506">
        <w:rPr>
          <w:rFonts w:ascii="Times New Roman" w:hAnsi="Times New Roman"/>
          <w:i/>
          <w:iCs/>
          <w:color w:val="000000" w:themeColor="text1"/>
          <w:sz w:val="20"/>
          <w:szCs w:val="20"/>
          <w:lang w:val="en-US"/>
        </w:rPr>
        <w:t>5</w:t>
      </w:r>
      <w:r w:rsidR="008813F9" w:rsidRPr="00571506">
        <w:rPr>
          <w:rFonts w:ascii="Times New Roman" w:hAnsi="Times New Roman"/>
          <w:i/>
          <w:iCs/>
          <w:color w:val="000000" w:themeColor="text1"/>
          <w:sz w:val="20"/>
          <w:szCs w:val="20"/>
          <w:lang w:val="en-US"/>
        </w:rPr>
        <w:t>.4. Sensitivity analysis</w:t>
      </w:r>
    </w:p>
    <w:p w14:paraId="72B71E21"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To test the robustness of our electricity capacity projections under varying assumptions, a sensitivity analysis was conducted using three key parameters:</w:t>
      </w:r>
    </w:p>
    <w:p w14:paraId="760BC7EE" w14:textId="77777777" w:rsidR="008813F9" w:rsidRPr="00571506" w:rsidRDefault="008813F9">
      <w:pPr>
        <w:numPr>
          <w:ilvl w:val="0"/>
          <w:numId w:val="28"/>
        </w:numPr>
        <w:spacing w:after="0" w:line="240" w:lineRule="auto"/>
        <w:jc w:val="both"/>
        <w:rPr>
          <w:rFonts w:ascii="Times New Roman" w:hAnsi="Times New Roman"/>
          <w:color w:val="000000" w:themeColor="text1"/>
          <w:sz w:val="20"/>
          <w:szCs w:val="20"/>
          <w:lang w:val="en-US"/>
        </w:rPr>
      </w:pPr>
      <w:r w:rsidRPr="00571506">
        <w:rPr>
          <w:rFonts w:ascii="Times New Roman" w:hAnsi="Times New Roman"/>
          <w:b/>
          <w:bCs/>
          <w:color w:val="000000" w:themeColor="text1"/>
          <w:sz w:val="20"/>
          <w:szCs w:val="20"/>
          <w:lang w:val="en-US"/>
        </w:rPr>
        <w:t>Load factor:</w:t>
      </w:r>
      <w:r w:rsidRPr="00571506">
        <w:rPr>
          <w:rFonts w:ascii="Times New Roman" w:hAnsi="Times New Roman"/>
          <w:color w:val="000000" w:themeColor="text1"/>
          <w:sz w:val="20"/>
          <w:szCs w:val="20"/>
          <w:lang w:val="en-US"/>
        </w:rPr>
        <w:t xml:space="preserve"> ranging from </w:t>
      </w:r>
      <w:r w:rsidRPr="00571506">
        <w:rPr>
          <w:rFonts w:ascii="Times New Roman" w:hAnsi="Times New Roman"/>
          <w:b/>
          <w:bCs/>
          <w:color w:val="000000" w:themeColor="text1"/>
          <w:sz w:val="20"/>
          <w:szCs w:val="20"/>
          <w:lang w:val="en-US"/>
        </w:rPr>
        <w:t>80% to 95%</w:t>
      </w:r>
    </w:p>
    <w:p w14:paraId="3D01DDB0" w14:textId="77777777" w:rsidR="008813F9" w:rsidRPr="00571506" w:rsidRDefault="008813F9">
      <w:pPr>
        <w:numPr>
          <w:ilvl w:val="0"/>
          <w:numId w:val="28"/>
        </w:numPr>
        <w:spacing w:after="0" w:line="240" w:lineRule="auto"/>
        <w:jc w:val="both"/>
        <w:rPr>
          <w:rFonts w:ascii="Times New Roman" w:hAnsi="Times New Roman"/>
          <w:color w:val="000000" w:themeColor="text1"/>
          <w:sz w:val="20"/>
          <w:szCs w:val="20"/>
          <w:lang w:val="en-US"/>
        </w:rPr>
      </w:pPr>
      <w:r w:rsidRPr="00571506">
        <w:rPr>
          <w:rFonts w:ascii="Times New Roman" w:hAnsi="Times New Roman"/>
          <w:b/>
          <w:bCs/>
          <w:color w:val="000000" w:themeColor="text1"/>
          <w:sz w:val="20"/>
          <w:szCs w:val="20"/>
          <w:lang w:val="en-US"/>
        </w:rPr>
        <w:t>Annual industrial production growth rate:</w:t>
      </w:r>
      <w:r w:rsidRPr="00571506">
        <w:rPr>
          <w:rFonts w:ascii="Times New Roman" w:hAnsi="Times New Roman"/>
          <w:color w:val="000000" w:themeColor="text1"/>
          <w:sz w:val="20"/>
          <w:szCs w:val="20"/>
          <w:lang w:val="en-US"/>
        </w:rPr>
        <w:t xml:space="preserve"> ±</w:t>
      </w:r>
      <w:r w:rsidRPr="00571506">
        <w:rPr>
          <w:rFonts w:ascii="Times New Roman" w:hAnsi="Times New Roman"/>
          <w:b/>
          <w:bCs/>
          <w:color w:val="000000" w:themeColor="text1"/>
          <w:sz w:val="20"/>
          <w:szCs w:val="20"/>
          <w:lang w:val="en-US"/>
        </w:rPr>
        <w:t>2%</w:t>
      </w:r>
    </w:p>
    <w:p w14:paraId="0BA275E4" w14:textId="77777777" w:rsidR="008813F9" w:rsidRPr="00571506" w:rsidRDefault="008813F9">
      <w:pPr>
        <w:numPr>
          <w:ilvl w:val="0"/>
          <w:numId w:val="28"/>
        </w:numPr>
        <w:spacing w:after="0" w:line="240" w:lineRule="auto"/>
        <w:jc w:val="both"/>
        <w:rPr>
          <w:rFonts w:ascii="Times New Roman" w:hAnsi="Times New Roman"/>
          <w:color w:val="000000" w:themeColor="text1"/>
          <w:sz w:val="20"/>
          <w:szCs w:val="20"/>
        </w:rPr>
      </w:pPr>
      <w:proofErr w:type="spellStart"/>
      <w:r w:rsidRPr="00571506">
        <w:rPr>
          <w:rFonts w:ascii="Times New Roman" w:hAnsi="Times New Roman"/>
          <w:b/>
          <w:bCs/>
          <w:color w:val="000000" w:themeColor="text1"/>
          <w:sz w:val="20"/>
          <w:szCs w:val="20"/>
        </w:rPr>
        <w:t>Electrification</w:t>
      </w:r>
      <w:proofErr w:type="spellEnd"/>
      <w:r w:rsidRPr="00571506">
        <w:rPr>
          <w:rFonts w:ascii="Times New Roman" w:hAnsi="Times New Roman"/>
          <w:b/>
          <w:bCs/>
          <w:color w:val="000000" w:themeColor="text1"/>
          <w:sz w:val="20"/>
          <w:szCs w:val="20"/>
        </w:rPr>
        <w:t xml:space="preserve"> </w:t>
      </w:r>
      <w:proofErr w:type="spellStart"/>
      <w:r w:rsidRPr="00571506">
        <w:rPr>
          <w:rFonts w:ascii="Times New Roman" w:hAnsi="Times New Roman"/>
          <w:b/>
          <w:bCs/>
          <w:color w:val="000000" w:themeColor="text1"/>
          <w:sz w:val="20"/>
          <w:szCs w:val="20"/>
        </w:rPr>
        <w:t>rate</w:t>
      </w:r>
      <w:proofErr w:type="spellEnd"/>
      <w:r w:rsidRPr="00571506">
        <w:rPr>
          <w:rFonts w:ascii="Times New Roman" w:hAnsi="Times New Roman"/>
          <w:b/>
          <w:bCs/>
          <w:color w:val="000000" w:themeColor="text1"/>
          <w:sz w:val="20"/>
          <w:szCs w:val="20"/>
        </w:rPr>
        <w:t xml:space="preserve"> by </w:t>
      </w:r>
      <w:proofErr w:type="spellStart"/>
      <w:r w:rsidRPr="00571506">
        <w:rPr>
          <w:rFonts w:ascii="Times New Roman" w:hAnsi="Times New Roman"/>
          <w:b/>
          <w:bCs/>
          <w:color w:val="000000" w:themeColor="text1"/>
          <w:sz w:val="20"/>
          <w:szCs w:val="20"/>
        </w:rPr>
        <w:t>sector</w:t>
      </w:r>
      <w:proofErr w:type="spellEnd"/>
      <w:r w:rsidRPr="00571506">
        <w:rPr>
          <w:rFonts w:ascii="Times New Roman" w:hAnsi="Times New Roman"/>
          <w:b/>
          <w:bCs/>
          <w:color w:val="000000" w:themeColor="text1"/>
          <w:sz w:val="20"/>
          <w:szCs w:val="20"/>
        </w:rPr>
        <w:t>:</w:t>
      </w:r>
      <w:r w:rsidRPr="00571506">
        <w:rPr>
          <w:rFonts w:ascii="Times New Roman" w:hAnsi="Times New Roman"/>
          <w:color w:val="000000" w:themeColor="text1"/>
          <w:sz w:val="20"/>
          <w:szCs w:val="20"/>
        </w:rPr>
        <w:t xml:space="preserve"> ±</w:t>
      </w:r>
      <w:r w:rsidRPr="00571506">
        <w:rPr>
          <w:rFonts w:ascii="Times New Roman" w:hAnsi="Times New Roman"/>
          <w:b/>
          <w:bCs/>
          <w:color w:val="000000" w:themeColor="text1"/>
          <w:sz w:val="20"/>
          <w:szCs w:val="20"/>
        </w:rPr>
        <w:t>10%</w:t>
      </w:r>
    </w:p>
    <w:p w14:paraId="72917435" w14:textId="77777777" w:rsid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The results, summarized in Figure 11, provide critical insights into how variations in these assumptions impact total electricity capacity requirements.</w:t>
      </w:r>
    </w:p>
    <w:p w14:paraId="240F7D25" w14:textId="77777777" w:rsidR="00571506" w:rsidRDefault="00571506" w:rsidP="008813F9">
      <w:pPr>
        <w:spacing w:after="0" w:line="240" w:lineRule="auto"/>
        <w:jc w:val="both"/>
        <w:rPr>
          <w:rFonts w:ascii="Times New Roman" w:hAnsi="Times New Roman"/>
          <w:color w:val="000000" w:themeColor="text1"/>
          <w:sz w:val="20"/>
          <w:szCs w:val="20"/>
          <w:lang w:val="en-US"/>
        </w:rPr>
      </w:pPr>
    </w:p>
    <w:p w14:paraId="512400ED" w14:textId="77777777" w:rsidR="008813F9" w:rsidRPr="008813F9" w:rsidRDefault="008813F9" w:rsidP="008813F9">
      <w:pPr>
        <w:pStyle w:val="NormalnyWeb"/>
        <w:spacing w:before="0" w:beforeAutospacing="0" w:after="0" w:afterAutospacing="0"/>
        <w:rPr>
          <w:rFonts w:ascii="Times New Roman" w:hAnsi="Times New Roman" w:cs="Times New Roman"/>
          <w:color w:val="000000" w:themeColor="text1"/>
          <w:sz w:val="20"/>
          <w:szCs w:val="20"/>
        </w:rPr>
      </w:pPr>
      <w:r w:rsidRPr="008813F9">
        <w:rPr>
          <w:rFonts w:ascii="Times New Roman" w:hAnsi="Times New Roman" w:cs="Times New Roman"/>
          <w:noProof/>
          <w:color w:val="000000" w:themeColor="text1"/>
          <w:sz w:val="20"/>
          <w:szCs w:val="20"/>
        </w:rPr>
        <w:drawing>
          <wp:inline distT="0" distB="0" distL="0" distR="0" wp14:anchorId="3CEE9F8F" wp14:editId="1B443FF1">
            <wp:extent cx="5715000" cy="2552700"/>
            <wp:effectExtent l="0" t="0" r="0" b="0"/>
            <wp:docPr id="25" name="Image 25" descr="Bar chart showing  total electric capacity needed to enable industrial decarbonization by 2050 including constrained grid, moderately upgraded grid and fully optimized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25" descr="Bar chart showing  total electric capacity needed to enable industrial decarbonization by 2050 including constrained grid, moderately upgraded grid and fully optimized grid"/>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5965"/>
                    <a:stretch>
                      <a:fillRect/>
                    </a:stretch>
                  </pic:blipFill>
                  <pic:spPr bwMode="auto">
                    <a:xfrm>
                      <a:off x="0" y="0"/>
                      <a:ext cx="5715000" cy="2552700"/>
                    </a:xfrm>
                    <a:prstGeom prst="rect">
                      <a:avLst/>
                    </a:prstGeom>
                    <a:noFill/>
                    <a:ln>
                      <a:noFill/>
                    </a:ln>
                    <a:extLst>
                      <a:ext uri="{53640926-AAD7-44D8-BBD7-CCE9431645EC}">
                        <a14:shadowObscured xmlns:a14="http://schemas.microsoft.com/office/drawing/2010/main"/>
                      </a:ext>
                    </a:extLst>
                  </pic:spPr>
                </pic:pic>
              </a:graphicData>
            </a:graphic>
          </wp:inline>
        </w:drawing>
      </w:r>
    </w:p>
    <w:p w14:paraId="62438500" w14:textId="77777777" w:rsidR="003C0960" w:rsidRPr="00571506" w:rsidRDefault="003C0960" w:rsidP="003C0960">
      <w:pPr>
        <w:spacing w:after="0" w:line="240" w:lineRule="auto"/>
        <w:jc w:val="both"/>
        <w:rPr>
          <w:rFonts w:ascii="Times New Roman" w:hAnsi="Times New Roman"/>
          <w:color w:val="000000" w:themeColor="text1"/>
          <w:sz w:val="18"/>
          <w:szCs w:val="18"/>
          <w:lang w:val="en-US"/>
        </w:rPr>
      </w:pPr>
      <w:r w:rsidRPr="00571506">
        <w:rPr>
          <w:rFonts w:ascii="Times New Roman" w:hAnsi="Times New Roman"/>
          <w:color w:val="000000" w:themeColor="text1"/>
          <w:sz w:val="18"/>
          <w:szCs w:val="18"/>
          <w:lang w:val="en-US"/>
        </w:rPr>
        <w:t>Figure 11. Total electric capacity needed to enable industrial decarbonization by 2050 (balanced pathway), source: own elaboration</w:t>
      </w:r>
    </w:p>
    <w:p w14:paraId="6FCEB0C7" w14:textId="77777777" w:rsidR="00571506" w:rsidRDefault="00571506" w:rsidP="008813F9">
      <w:pPr>
        <w:spacing w:after="0" w:line="240" w:lineRule="auto"/>
        <w:jc w:val="both"/>
        <w:rPr>
          <w:rFonts w:ascii="Times New Roman" w:hAnsi="Times New Roman"/>
          <w:color w:val="000000" w:themeColor="text1"/>
          <w:sz w:val="20"/>
          <w:szCs w:val="20"/>
          <w:lang w:val="en-US"/>
        </w:rPr>
      </w:pPr>
    </w:p>
    <w:p w14:paraId="6D445EAF" w14:textId="5DA075A9"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This figure compares the total required electric capacity across three infrastructure scenarios, assuming the Balanced Decarbonization pathway:</w:t>
      </w:r>
    </w:p>
    <w:p w14:paraId="72F15090" w14:textId="77777777" w:rsidR="008813F9" w:rsidRPr="00571506" w:rsidRDefault="008813F9">
      <w:pPr>
        <w:numPr>
          <w:ilvl w:val="0"/>
          <w:numId w:val="29"/>
        </w:numPr>
        <w:spacing w:after="0" w:line="240" w:lineRule="auto"/>
        <w:jc w:val="both"/>
        <w:rPr>
          <w:rFonts w:ascii="Times New Roman" w:hAnsi="Times New Roman"/>
          <w:color w:val="000000" w:themeColor="text1"/>
          <w:sz w:val="20"/>
          <w:szCs w:val="20"/>
          <w:lang w:val="en-US"/>
        </w:rPr>
      </w:pPr>
      <w:r w:rsidRPr="00571506">
        <w:rPr>
          <w:rFonts w:ascii="Times New Roman" w:hAnsi="Times New Roman"/>
          <w:color w:val="000000" w:themeColor="text1"/>
          <w:sz w:val="20"/>
          <w:szCs w:val="20"/>
          <w:lang w:val="en-US"/>
        </w:rPr>
        <w:t>Under a Constrained Grid scenario, total required capacity rises to 850 GW. This reflects inefficient energy routing, limited flexibility, and a higher reliance on backup systems.</w:t>
      </w:r>
    </w:p>
    <w:p w14:paraId="2EACA138" w14:textId="77777777" w:rsidR="008813F9" w:rsidRPr="00571506" w:rsidRDefault="008813F9">
      <w:pPr>
        <w:numPr>
          <w:ilvl w:val="0"/>
          <w:numId w:val="29"/>
        </w:numPr>
        <w:spacing w:after="0" w:line="240" w:lineRule="auto"/>
        <w:jc w:val="both"/>
        <w:rPr>
          <w:rFonts w:ascii="Times New Roman" w:hAnsi="Times New Roman"/>
          <w:color w:val="000000" w:themeColor="text1"/>
          <w:sz w:val="20"/>
          <w:szCs w:val="20"/>
          <w:lang w:val="en-US"/>
        </w:rPr>
      </w:pPr>
      <w:r w:rsidRPr="00571506">
        <w:rPr>
          <w:rFonts w:ascii="Times New Roman" w:hAnsi="Times New Roman"/>
          <w:color w:val="000000" w:themeColor="text1"/>
          <w:sz w:val="20"/>
          <w:szCs w:val="20"/>
          <w:lang w:val="en-US"/>
        </w:rPr>
        <w:t>With a Moderately Upgraded Grid, capacity needs fall to 710 GW, benefiting from enhanced transmission flow and regional balancing.</w:t>
      </w:r>
    </w:p>
    <w:p w14:paraId="2FB1B364" w14:textId="1A31BA1A" w:rsidR="008813F9" w:rsidRPr="00571506" w:rsidRDefault="008813F9">
      <w:pPr>
        <w:numPr>
          <w:ilvl w:val="0"/>
          <w:numId w:val="29"/>
        </w:numPr>
        <w:spacing w:after="0" w:line="240" w:lineRule="auto"/>
        <w:jc w:val="both"/>
        <w:rPr>
          <w:rFonts w:ascii="Times New Roman" w:hAnsi="Times New Roman"/>
          <w:color w:val="000000" w:themeColor="text1"/>
          <w:sz w:val="20"/>
          <w:szCs w:val="20"/>
          <w:lang w:val="en-US"/>
        </w:rPr>
      </w:pPr>
      <w:r w:rsidRPr="00571506">
        <w:rPr>
          <w:rFonts w:ascii="Times New Roman" w:hAnsi="Times New Roman"/>
          <w:color w:val="000000" w:themeColor="text1"/>
          <w:sz w:val="20"/>
          <w:szCs w:val="20"/>
          <w:lang w:val="en-US"/>
        </w:rPr>
        <w:lastRenderedPageBreak/>
        <w:t>In a Fully Optimized Grid scenario</w:t>
      </w:r>
      <w:r w:rsidR="00571506" w:rsidRPr="00571506">
        <w:rPr>
          <w:rFonts w:ascii="Times New Roman" w:hAnsi="Times New Roman"/>
          <w:color w:val="000000" w:themeColor="text1"/>
          <w:sz w:val="20"/>
          <w:szCs w:val="20"/>
          <w:lang w:val="en-US"/>
        </w:rPr>
        <w:t xml:space="preserve"> – </w:t>
      </w:r>
      <w:r w:rsidRPr="00571506">
        <w:rPr>
          <w:rFonts w:ascii="Times New Roman" w:hAnsi="Times New Roman"/>
          <w:color w:val="000000" w:themeColor="text1"/>
          <w:sz w:val="20"/>
          <w:szCs w:val="20"/>
          <w:lang w:val="en-US"/>
        </w:rPr>
        <w:t>featuring advanced smart grids, DER integration, and real-time demand management</w:t>
      </w:r>
      <w:r w:rsidR="00571506" w:rsidRPr="00571506">
        <w:rPr>
          <w:rFonts w:ascii="Times New Roman" w:hAnsi="Times New Roman"/>
          <w:color w:val="000000" w:themeColor="text1"/>
          <w:sz w:val="20"/>
          <w:szCs w:val="20"/>
          <w:lang w:val="en-US"/>
        </w:rPr>
        <w:t xml:space="preserve"> – </w:t>
      </w:r>
      <w:r w:rsidRPr="00571506">
        <w:rPr>
          <w:rFonts w:ascii="Times New Roman" w:hAnsi="Times New Roman"/>
          <w:color w:val="000000" w:themeColor="text1"/>
          <w:sz w:val="20"/>
          <w:szCs w:val="20"/>
          <w:lang w:val="en-US"/>
        </w:rPr>
        <w:t>required capacity is minimized to 670 GW.</w:t>
      </w:r>
    </w:p>
    <w:p w14:paraId="4F3BD932"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This scenario range clearly illustrates the value of grid modernization in reducing overbuild risk and ensuring efficient electrification.</w:t>
      </w:r>
    </w:p>
    <w:p w14:paraId="46083326" w14:textId="77777777" w:rsidR="008813F9" w:rsidRPr="008813F9" w:rsidRDefault="008813F9" w:rsidP="008813F9">
      <w:pPr>
        <w:spacing w:after="0" w:line="240" w:lineRule="auto"/>
        <w:jc w:val="both"/>
        <w:rPr>
          <w:rFonts w:ascii="Times New Roman" w:hAnsi="Times New Roman"/>
          <w:color w:val="000000" w:themeColor="text1"/>
          <w:sz w:val="20"/>
          <w:szCs w:val="20"/>
        </w:rPr>
      </w:pPr>
      <w:proofErr w:type="spellStart"/>
      <w:r w:rsidRPr="008813F9">
        <w:rPr>
          <w:rFonts w:ascii="Times New Roman" w:hAnsi="Times New Roman"/>
          <w:color w:val="000000" w:themeColor="text1"/>
          <w:sz w:val="20"/>
          <w:szCs w:val="20"/>
        </w:rPr>
        <w:t>Additional</w:t>
      </w:r>
      <w:proofErr w:type="spellEnd"/>
      <w:r w:rsidRPr="008813F9">
        <w:rPr>
          <w:rFonts w:ascii="Times New Roman" w:hAnsi="Times New Roman"/>
          <w:color w:val="000000" w:themeColor="text1"/>
          <w:sz w:val="20"/>
          <w:szCs w:val="20"/>
        </w:rPr>
        <w:t xml:space="preserve"> </w:t>
      </w:r>
      <w:proofErr w:type="spellStart"/>
      <w:r w:rsidRPr="008813F9">
        <w:rPr>
          <w:rFonts w:ascii="Times New Roman" w:hAnsi="Times New Roman"/>
          <w:color w:val="000000" w:themeColor="text1"/>
          <w:sz w:val="20"/>
          <w:szCs w:val="20"/>
        </w:rPr>
        <w:t>sensitivity</w:t>
      </w:r>
      <w:proofErr w:type="spellEnd"/>
      <w:r w:rsidRPr="008813F9">
        <w:rPr>
          <w:rFonts w:ascii="Times New Roman" w:hAnsi="Times New Roman"/>
          <w:color w:val="000000" w:themeColor="text1"/>
          <w:sz w:val="20"/>
          <w:szCs w:val="20"/>
        </w:rPr>
        <w:t xml:space="preserve"> </w:t>
      </w:r>
      <w:proofErr w:type="spellStart"/>
      <w:r w:rsidRPr="008813F9">
        <w:rPr>
          <w:rFonts w:ascii="Times New Roman" w:hAnsi="Times New Roman"/>
          <w:color w:val="000000" w:themeColor="text1"/>
          <w:sz w:val="20"/>
          <w:szCs w:val="20"/>
        </w:rPr>
        <w:t>findings</w:t>
      </w:r>
      <w:proofErr w:type="spellEnd"/>
      <w:r w:rsidRPr="008813F9">
        <w:rPr>
          <w:rFonts w:ascii="Times New Roman" w:hAnsi="Times New Roman"/>
          <w:color w:val="000000" w:themeColor="text1"/>
          <w:sz w:val="20"/>
          <w:szCs w:val="20"/>
        </w:rPr>
        <w:t xml:space="preserve"> </w:t>
      </w:r>
      <w:proofErr w:type="spellStart"/>
      <w:r w:rsidRPr="008813F9">
        <w:rPr>
          <w:rFonts w:ascii="Times New Roman" w:hAnsi="Times New Roman"/>
          <w:color w:val="000000" w:themeColor="text1"/>
          <w:sz w:val="20"/>
          <w:szCs w:val="20"/>
        </w:rPr>
        <w:t>include</w:t>
      </w:r>
      <w:proofErr w:type="spellEnd"/>
      <w:r w:rsidRPr="008813F9">
        <w:rPr>
          <w:rFonts w:ascii="Times New Roman" w:hAnsi="Times New Roman"/>
          <w:color w:val="000000" w:themeColor="text1"/>
          <w:sz w:val="20"/>
          <w:szCs w:val="20"/>
        </w:rPr>
        <w:t>:</w:t>
      </w:r>
    </w:p>
    <w:p w14:paraId="439F066E" w14:textId="77777777" w:rsidR="008813F9" w:rsidRPr="00571506" w:rsidRDefault="008813F9">
      <w:pPr>
        <w:numPr>
          <w:ilvl w:val="0"/>
          <w:numId w:val="30"/>
        </w:numPr>
        <w:spacing w:after="0" w:line="240" w:lineRule="auto"/>
        <w:jc w:val="both"/>
        <w:rPr>
          <w:rFonts w:ascii="Times New Roman" w:hAnsi="Times New Roman"/>
          <w:color w:val="000000" w:themeColor="text1"/>
          <w:sz w:val="20"/>
          <w:szCs w:val="20"/>
          <w:lang w:val="en-US"/>
        </w:rPr>
      </w:pPr>
      <w:r w:rsidRPr="00571506">
        <w:rPr>
          <w:rFonts w:ascii="Times New Roman" w:hAnsi="Times New Roman"/>
          <w:color w:val="000000" w:themeColor="text1"/>
          <w:sz w:val="20"/>
          <w:szCs w:val="20"/>
          <w:lang w:val="en-US"/>
        </w:rPr>
        <w:t>A 5% decrease in the assumed load factor results in a 64 GW increase in required capacity, highlighting the importance of maintaining high operational efficiency across industrial systems.</w:t>
      </w:r>
    </w:p>
    <w:p w14:paraId="46C68AB1" w14:textId="7A8CCC59" w:rsidR="008813F9" w:rsidRPr="00571506" w:rsidRDefault="008813F9">
      <w:pPr>
        <w:numPr>
          <w:ilvl w:val="0"/>
          <w:numId w:val="30"/>
        </w:numPr>
        <w:spacing w:after="0" w:line="240" w:lineRule="auto"/>
        <w:jc w:val="both"/>
        <w:rPr>
          <w:rFonts w:ascii="Times New Roman" w:hAnsi="Times New Roman"/>
          <w:color w:val="000000" w:themeColor="text1"/>
          <w:sz w:val="20"/>
          <w:szCs w:val="20"/>
          <w:lang w:val="en-US"/>
        </w:rPr>
      </w:pPr>
      <w:r w:rsidRPr="00571506">
        <w:rPr>
          <w:rFonts w:ascii="Times New Roman" w:hAnsi="Times New Roman"/>
          <w:color w:val="000000" w:themeColor="text1"/>
          <w:sz w:val="20"/>
          <w:szCs w:val="20"/>
          <w:lang w:val="en-US"/>
        </w:rPr>
        <w:t>Slower production growth (e.g., in steel and chemicals) reduces overall electricity demand by 11–14%, though the benefit is unevenly distributed</w:t>
      </w:r>
      <w:r w:rsidR="00571506">
        <w:rPr>
          <w:rFonts w:ascii="Times New Roman" w:hAnsi="Times New Roman"/>
          <w:color w:val="000000" w:themeColor="text1"/>
          <w:sz w:val="20"/>
          <w:szCs w:val="20"/>
          <w:lang w:val="en-US"/>
        </w:rPr>
        <w:t xml:space="preserve"> – </w:t>
      </w:r>
      <w:r w:rsidRPr="00571506">
        <w:rPr>
          <w:rFonts w:ascii="Times New Roman" w:hAnsi="Times New Roman"/>
          <w:color w:val="000000" w:themeColor="text1"/>
          <w:sz w:val="20"/>
          <w:szCs w:val="20"/>
          <w:lang w:val="en-US"/>
        </w:rPr>
        <w:t>favoring already unconstrained regions.</w:t>
      </w:r>
    </w:p>
    <w:p w14:paraId="49C3953F" w14:textId="77777777" w:rsidR="008813F9" w:rsidRPr="00571506" w:rsidRDefault="008813F9">
      <w:pPr>
        <w:numPr>
          <w:ilvl w:val="0"/>
          <w:numId w:val="30"/>
        </w:numPr>
        <w:spacing w:after="0" w:line="240" w:lineRule="auto"/>
        <w:jc w:val="both"/>
        <w:rPr>
          <w:rFonts w:ascii="Times New Roman" w:hAnsi="Times New Roman"/>
          <w:color w:val="000000" w:themeColor="text1"/>
          <w:sz w:val="20"/>
          <w:szCs w:val="20"/>
          <w:lang w:val="en-US"/>
        </w:rPr>
      </w:pPr>
      <w:r w:rsidRPr="00571506">
        <w:rPr>
          <w:rFonts w:ascii="Times New Roman" w:hAnsi="Times New Roman"/>
          <w:color w:val="000000" w:themeColor="text1"/>
          <w:sz w:val="20"/>
          <w:szCs w:val="20"/>
          <w:lang w:val="en-US"/>
        </w:rPr>
        <w:t>A 10% delay in electrification within key sectors increases grid constraint exposure by 16%, emphasizing their critical role in system-wide readiness.</w:t>
      </w:r>
    </w:p>
    <w:p w14:paraId="6F416FC5" w14:textId="4A1333A3"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Across all scenarios, the spatial allocation algorithm used in our analysis remained robust to moderate changes in inputs. However, total system-wide impacts scale rapidly under high electrification ambition</w:t>
      </w:r>
      <w:r w:rsidR="00571506">
        <w:rPr>
          <w:rFonts w:ascii="Times New Roman" w:hAnsi="Times New Roman"/>
          <w:color w:val="000000" w:themeColor="text1"/>
          <w:sz w:val="20"/>
          <w:szCs w:val="20"/>
          <w:lang w:val="en-US"/>
        </w:rPr>
        <w:t xml:space="preserve"> – </w:t>
      </w:r>
      <w:r w:rsidRPr="008813F9">
        <w:rPr>
          <w:rFonts w:ascii="Times New Roman" w:hAnsi="Times New Roman"/>
          <w:color w:val="000000" w:themeColor="text1"/>
          <w:sz w:val="20"/>
          <w:szCs w:val="20"/>
          <w:lang w:val="en-US"/>
        </w:rPr>
        <w:t>especially when infrastructure upgrades lag behind industrial transformation.</w:t>
      </w:r>
    </w:p>
    <w:p w14:paraId="559B4483" w14:textId="77777777" w:rsidR="00571506" w:rsidRPr="00571506" w:rsidRDefault="00571506" w:rsidP="00571506">
      <w:pPr>
        <w:spacing w:after="0" w:line="240" w:lineRule="auto"/>
        <w:jc w:val="both"/>
        <w:rPr>
          <w:rFonts w:ascii="Times New Roman" w:hAnsi="Times New Roman"/>
          <w:b/>
          <w:bCs/>
          <w:color w:val="000000" w:themeColor="text1"/>
          <w:sz w:val="20"/>
          <w:szCs w:val="20"/>
          <w:lang w:val="en-US"/>
        </w:rPr>
      </w:pPr>
    </w:p>
    <w:p w14:paraId="3C69C942" w14:textId="44FDE75D" w:rsidR="008813F9" w:rsidRPr="00571506" w:rsidRDefault="008813F9">
      <w:pPr>
        <w:pStyle w:val="Akapitzlist"/>
        <w:numPr>
          <w:ilvl w:val="0"/>
          <w:numId w:val="15"/>
        </w:numPr>
        <w:spacing w:after="0" w:line="240" w:lineRule="auto"/>
        <w:jc w:val="both"/>
        <w:rPr>
          <w:rFonts w:ascii="Times New Roman" w:hAnsi="Times New Roman"/>
          <w:b/>
          <w:bCs/>
          <w:color w:val="000000" w:themeColor="text1"/>
          <w:sz w:val="20"/>
          <w:szCs w:val="20"/>
        </w:rPr>
      </w:pPr>
      <w:proofErr w:type="spellStart"/>
      <w:r w:rsidRPr="00571506">
        <w:rPr>
          <w:rFonts w:ascii="Times New Roman" w:hAnsi="Times New Roman"/>
          <w:b/>
          <w:bCs/>
          <w:color w:val="000000" w:themeColor="text1"/>
          <w:sz w:val="20"/>
          <w:szCs w:val="20"/>
        </w:rPr>
        <w:t>Discussion</w:t>
      </w:r>
      <w:proofErr w:type="spellEnd"/>
      <w:r w:rsidRPr="00571506">
        <w:rPr>
          <w:rFonts w:ascii="Times New Roman" w:hAnsi="Times New Roman"/>
          <w:b/>
          <w:bCs/>
          <w:color w:val="000000" w:themeColor="text1"/>
          <w:sz w:val="20"/>
          <w:szCs w:val="20"/>
        </w:rPr>
        <w:t xml:space="preserve"> and </w:t>
      </w:r>
      <w:r w:rsidR="00571506">
        <w:rPr>
          <w:rFonts w:ascii="Times New Roman" w:hAnsi="Times New Roman"/>
          <w:b/>
          <w:bCs/>
          <w:color w:val="000000" w:themeColor="text1"/>
          <w:sz w:val="20"/>
          <w:szCs w:val="20"/>
        </w:rPr>
        <w:t>p</w:t>
      </w:r>
      <w:r w:rsidRPr="00571506">
        <w:rPr>
          <w:rFonts w:ascii="Times New Roman" w:hAnsi="Times New Roman"/>
          <w:b/>
          <w:bCs/>
          <w:color w:val="000000" w:themeColor="text1"/>
          <w:sz w:val="20"/>
          <w:szCs w:val="20"/>
        </w:rPr>
        <w:t xml:space="preserve">olicy </w:t>
      </w:r>
      <w:proofErr w:type="spellStart"/>
      <w:r w:rsidR="00571506">
        <w:rPr>
          <w:rFonts w:ascii="Times New Roman" w:hAnsi="Times New Roman"/>
          <w:b/>
          <w:bCs/>
          <w:color w:val="000000" w:themeColor="text1"/>
          <w:sz w:val="20"/>
          <w:szCs w:val="20"/>
        </w:rPr>
        <w:t>i</w:t>
      </w:r>
      <w:r w:rsidRPr="00571506">
        <w:rPr>
          <w:rFonts w:ascii="Times New Roman" w:hAnsi="Times New Roman"/>
          <w:b/>
          <w:bCs/>
          <w:color w:val="000000" w:themeColor="text1"/>
          <w:sz w:val="20"/>
          <w:szCs w:val="20"/>
        </w:rPr>
        <w:t>mplications</w:t>
      </w:r>
      <w:proofErr w:type="spellEnd"/>
    </w:p>
    <w:p w14:paraId="655912C5" w14:textId="77777777" w:rsidR="00571506" w:rsidRDefault="00571506" w:rsidP="008813F9">
      <w:pPr>
        <w:spacing w:after="0" w:line="240" w:lineRule="auto"/>
        <w:jc w:val="both"/>
        <w:rPr>
          <w:rFonts w:ascii="Times New Roman" w:hAnsi="Times New Roman"/>
          <w:color w:val="000000" w:themeColor="text1"/>
          <w:sz w:val="20"/>
          <w:szCs w:val="20"/>
          <w:lang w:val="en-US"/>
        </w:rPr>
      </w:pPr>
    </w:p>
    <w:p w14:paraId="415ACA02" w14:textId="5BA1B2E6"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This section interprets the empirical results in the context of China’s industrial decarbonization goals and energy transition strategy. It highlights systemic challenges, strategic investment priorities, and policy levers necessary to align electricity network expansion with net-zero ambitions.</w:t>
      </w:r>
    </w:p>
    <w:p w14:paraId="09778E11" w14:textId="77777777" w:rsidR="00571506" w:rsidRDefault="00571506" w:rsidP="008813F9">
      <w:pPr>
        <w:spacing w:after="0" w:line="240" w:lineRule="auto"/>
        <w:jc w:val="both"/>
        <w:rPr>
          <w:rFonts w:ascii="Times New Roman" w:hAnsi="Times New Roman"/>
          <w:b/>
          <w:bCs/>
          <w:i/>
          <w:iCs/>
          <w:color w:val="000000" w:themeColor="text1"/>
          <w:sz w:val="20"/>
          <w:szCs w:val="20"/>
          <w:lang w:val="en-US"/>
        </w:rPr>
      </w:pPr>
    </w:p>
    <w:p w14:paraId="5304912E" w14:textId="56D2DCD3" w:rsidR="008813F9" w:rsidRPr="00571506" w:rsidRDefault="00571506" w:rsidP="008813F9">
      <w:pPr>
        <w:spacing w:after="0" w:line="240" w:lineRule="auto"/>
        <w:jc w:val="both"/>
        <w:rPr>
          <w:rFonts w:ascii="Times New Roman" w:hAnsi="Times New Roman"/>
          <w:i/>
          <w:iCs/>
          <w:color w:val="000000" w:themeColor="text1"/>
          <w:sz w:val="20"/>
          <w:szCs w:val="20"/>
          <w:lang w:val="en-US"/>
        </w:rPr>
      </w:pPr>
      <w:r w:rsidRPr="00571506">
        <w:rPr>
          <w:rFonts w:ascii="Times New Roman" w:hAnsi="Times New Roman"/>
          <w:i/>
          <w:iCs/>
          <w:color w:val="000000" w:themeColor="text1"/>
          <w:sz w:val="20"/>
          <w:szCs w:val="20"/>
          <w:lang w:val="en-US"/>
        </w:rPr>
        <w:t>6</w:t>
      </w:r>
      <w:r w:rsidR="008813F9" w:rsidRPr="00571506">
        <w:rPr>
          <w:rFonts w:ascii="Times New Roman" w:hAnsi="Times New Roman"/>
          <w:i/>
          <w:iCs/>
          <w:color w:val="000000" w:themeColor="text1"/>
          <w:sz w:val="20"/>
          <w:szCs w:val="20"/>
          <w:lang w:val="en-US"/>
        </w:rPr>
        <w:t>.1</w:t>
      </w:r>
      <w:r w:rsidRPr="00571506">
        <w:rPr>
          <w:rFonts w:ascii="Times New Roman" w:hAnsi="Times New Roman"/>
          <w:i/>
          <w:iCs/>
          <w:color w:val="000000" w:themeColor="text1"/>
          <w:sz w:val="20"/>
          <w:szCs w:val="20"/>
          <w:lang w:val="en-US"/>
        </w:rPr>
        <w:t>.</w:t>
      </w:r>
      <w:r w:rsidR="008813F9" w:rsidRPr="00571506">
        <w:rPr>
          <w:rFonts w:ascii="Times New Roman" w:hAnsi="Times New Roman"/>
          <w:i/>
          <w:iCs/>
          <w:color w:val="000000" w:themeColor="text1"/>
          <w:sz w:val="20"/>
          <w:szCs w:val="20"/>
          <w:lang w:val="en-US"/>
        </w:rPr>
        <w:t xml:space="preserve"> Regional </w:t>
      </w:r>
      <w:r w:rsidRPr="00571506">
        <w:rPr>
          <w:rFonts w:ascii="Times New Roman" w:hAnsi="Times New Roman"/>
          <w:i/>
          <w:iCs/>
          <w:color w:val="000000" w:themeColor="text1"/>
          <w:sz w:val="20"/>
          <w:szCs w:val="20"/>
          <w:lang w:val="en-US"/>
        </w:rPr>
        <w:t>d</w:t>
      </w:r>
      <w:r w:rsidR="008813F9" w:rsidRPr="00571506">
        <w:rPr>
          <w:rFonts w:ascii="Times New Roman" w:hAnsi="Times New Roman"/>
          <w:i/>
          <w:iCs/>
          <w:color w:val="000000" w:themeColor="text1"/>
          <w:sz w:val="20"/>
          <w:szCs w:val="20"/>
          <w:lang w:val="en-US"/>
        </w:rPr>
        <w:t xml:space="preserve">isparities and </w:t>
      </w:r>
      <w:r w:rsidRPr="00571506">
        <w:rPr>
          <w:rFonts w:ascii="Times New Roman" w:hAnsi="Times New Roman"/>
          <w:i/>
          <w:iCs/>
          <w:color w:val="000000" w:themeColor="text1"/>
          <w:sz w:val="20"/>
          <w:szCs w:val="20"/>
          <w:lang w:val="en-US"/>
        </w:rPr>
        <w:t>g</w:t>
      </w:r>
      <w:r w:rsidR="008813F9" w:rsidRPr="00571506">
        <w:rPr>
          <w:rFonts w:ascii="Times New Roman" w:hAnsi="Times New Roman"/>
          <w:i/>
          <w:iCs/>
          <w:color w:val="000000" w:themeColor="text1"/>
          <w:sz w:val="20"/>
          <w:szCs w:val="20"/>
          <w:lang w:val="en-US"/>
        </w:rPr>
        <w:t xml:space="preserve">rid </w:t>
      </w:r>
      <w:r w:rsidRPr="00571506">
        <w:rPr>
          <w:rFonts w:ascii="Times New Roman" w:hAnsi="Times New Roman"/>
          <w:i/>
          <w:iCs/>
          <w:color w:val="000000" w:themeColor="text1"/>
          <w:sz w:val="20"/>
          <w:szCs w:val="20"/>
          <w:lang w:val="en-US"/>
        </w:rPr>
        <w:t>i</w:t>
      </w:r>
      <w:r w:rsidR="008813F9" w:rsidRPr="00571506">
        <w:rPr>
          <w:rFonts w:ascii="Times New Roman" w:hAnsi="Times New Roman"/>
          <w:i/>
          <w:iCs/>
          <w:color w:val="000000" w:themeColor="text1"/>
          <w:sz w:val="20"/>
          <w:szCs w:val="20"/>
          <w:lang w:val="en-US"/>
        </w:rPr>
        <w:t>mbalances</w:t>
      </w:r>
    </w:p>
    <w:p w14:paraId="71428579" w14:textId="472FEA81"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The results reveal stark disparities in regional capacity readiness, with the western and central provinces facing the most significant grid constraints. These regions</w:t>
      </w:r>
      <w:r w:rsidR="00571506">
        <w:rPr>
          <w:rFonts w:ascii="Times New Roman" w:hAnsi="Times New Roman"/>
          <w:color w:val="000000" w:themeColor="text1"/>
          <w:sz w:val="20"/>
          <w:szCs w:val="20"/>
          <w:lang w:val="en-US"/>
        </w:rPr>
        <w:t xml:space="preserve"> – </w:t>
      </w:r>
      <w:r w:rsidRPr="008813F9">
        <w:rPr>
          <w:rFonts w:ascii="Times New Roman" w:hAnsi="Times New Roman"/>
          <w:color w:val="000000" w:themeColor="text1"/>
          <w:sz w:val="20"/>
          <w:szCs w:val="20"/>
          <w:lang w:val="en-US"/>
        </w:rPr>
        <w:t>Inner Mongolia, Shanxi, Sichuan, and Henan</w:t>
      </w:r>
      <w:r w:rsidR="00571506">
        <w:rPr>
          <w:rFonts w:ascii="Times New Roman" w:hAnsi="Times New Roman"/>
          <w:color w:val="000000" w:themeColor="text1"/>
          <w:sz w:val="20"/>
          <w:szCs w:val="20"/>
          <w:lang w:val="en-US"/>
        </w:rPr>
        <w:t xml:space="preserve"> – </w:t>
      </w:r>
      <w:r w:rsidRPr="008813F9">
        <w:rPr>
          <w:rFonts w:ascii="Times New Roman" w:hAnsi="Times New Roman"/>
          <w:color w:val="000000" w:themeColor="text1"/>
          <w:sz w:val="20"/>
          <w:szCs w:val="20"/>
          <w:lang w:val="en-US"/>
        </w:rPr>
        <w:t>host some of the largest industrial clusters, particularly in steel, cement, and chemical production, yet remain underserved by grid expansion (Zhang &amp; Gallagher, 2016; Liu et al., 2021).</w:t>
      </w:r>
    </w:p>
    <w:p w14:paraId="20076526"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The decoupling between industrial growth zones and grid readiness poses a strategic risk to the carbon neutrality goal. Previous studies (IEA, 2023; Chen et al., 2022) underscore the need for synchronizing industrial electrification plans with regional grid masterplans to avoid stranded emissions and infrastructure.</w:t>
      </w:r>
    </w:p>
    <w:p w14:paraId="56C035C0" w14:textId="6D75F47B"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These disparities also pose significant risks to the achievement of China’s sustainability commitments under the SDGs</w:t>
      </w:r>
      <w:r w:rsidR="00571506">
        <w:rPr>
          <w:rFonts w:ascii="Times New Roman" w:hAnsi="Times New Roman"/>
          <w:color w:val="000000" w:themeColor="text1"/>
          <w:sz w:val="20"/>
          <w:szCs w:val="20"/>
          <w:lang w:val="en-US"/>
        </w:rPr>
        <w:t xml:space="preserve"> – </w:t>
      </w:r>
      <w:r w:rsidRPr="008813F9">
        <w:rPr>
          <w:rFonts w:ascii="Times New Roman" w:hAnsi="Times New Roman"/>
          <w:color w:val="000000" w:themeColor="text1"/>
          <w:sz w:val="20"/>
          <w:szCs w:val="20"/>
          <w:lang w:val="en-US"/>
        </w:rPr>
        <w:t>particularly SDG 7 (Affordable and Clean Energy) and SDG 13 (Climate Action). Without equitable access to electricity infrastructure, regional imbalances could intensify, undermining the broader objectives of inclusive industrial development (SDG 9) and reduced inequalities (SDG 10). Ensuring spatial equity in grid expansion is therefore not only a technical priority but also a cornerstone of sustainable development.</w:t>
      </w:r>
    </w:p>
    <w:p w14:paraId="31E52944" w14:textId="77777777" w:rsidR="00571506" w:rsidRDefault="00571506" w:rsidP="008813F9">
      <w:pPr>
        <w:spacing w:after="0" w:line="240" w:lineRule="auto"/>
        <w:jc w:val="both"/>
        <w:rPr>
          <w:rFonts w:ascii="Times New Roman" w:hAnsi="Times New Roman"/>
          <w:b/>
          <w:bCs/>
          <w:i/>
          <w:iCs/>
          <w:color w:val="000000" w:themeColor="text1"/>
          <w:sz w:val="20"/>
          <w:szCs w:val="20"/>
          <w:lang w:val="en-US"/>
        </w:rPr>
      </w:pPr>
    </w:p>
    <w:p w14:paraId="26DAE383" w14:textId="27244073" w:rsidR="008813F9" w:rsidRPr="00571506" w:rsidRDefault="00571506" w:rsidP="008813F9">
      <w:pPr>
        <w:spacing w:after="0" w:line="240" w:lineRule="auto"/>
        <w:jc w:val="both"/>
        <w:rPr>
          <w:rFonts w:ascii="Times New Roman" w:hAnsi="Times New Roman"/>
          <w:i/>
          <w:iCs/>
          <w:color w:val="000000" w:themeColor="text1"/>
          <w:sz w:val="20"/>
          <w:szCs w:val="20"/>
          <w:lang w:val="en-US"/>
        </w:rPr>
      </w:pPr>
      <w:r>
        <w:rPr>
          <w:rFonts w:ascii="Times New Roman" w:hAnsi="Times New Roman"/>
          <w:i/>
          <w:iCs/>
          <w:color w:val="000000" w:themeColor="text1"/>
          <w:sz w:val="20"/>
          <w:szCs w:val="20"/>
          <w:lang w:val="en-US"/>
        </w:rPr>
        <w:t>6</w:t>
      </w:r>
      <w:r w:rsidR="008813F9" w:rsidRPr="00571506">
        <w:rPr>
          <w:rFonts w:ascii="Times New Roman" w:hAnsi="Times New Roman"/>
          <w:i/>
          <w:iCs/>
          <w:color w:val="000000" w:themeColor="text1"/>
          <w:sz w:val="20"/>
          <w:szCs w:val="20"/>
          <w:lang w:val="en-US"/>
        </w:rPr>
        <w:t>.2</w:t>
      </w:r>
      <w:r w:rsidRPr="00571506">
        <w:rPr>
          <w:rFonts w:ascii="Times New Roman" w:hAnsi="Times New Roman"/>
          <w:i/>
          <w:iCs/>
          <w:color w:val="000000" w:themeColor="text1"/>
          <w:sz w:val="20"/>
          <w:szCs w:val="20"/>
          <w:lang w:val="en-US"/>
        </w:rPr>
        <w:t>.</w:t>
      </w:r>
      <w:r w:rsidR="008813F9" w:rsidRPr="00571506">
        <w:rPr>
          <w:rFonts w:ascii="Times New Roman" w:hAnsi="Times New Roman"/>
          <w:i/>
          <w:iCs/>
          <w:color w:val="000000" w:themeColor="text1"/>
          <w:sz w:val="20"/>
          <w:szCs w:val="20"/>
          <w:lang w:val="en-US"/>
        </w:rPr>
        <w:t xml:space="preserve"> Electrification as the </w:t>
      </w:r>
      <w:r w:rsidRPr="00571506">
        <w:rPr>
          <w:rFonts w:ascii="Times New Roman" w:hAnsi="Times New Roman"/>
          <w:i/>
          <w:iCs/>
          <w:color w:val="000000" w:themeColor="text1"/>
          <w:sz w:val="20"/>
          <w:szCs w:val="20"/>
          <w:lang w:val="en-US"/>
        </w:rPr>
        <w:t>d</w:t>
      </w:r>
      <w:r w:rsidR="008813F9" w:rsidRPr="00571506">
        <w:rPr>
          <w:rFonts w:ascii="Times New Roman" w:hAnsi="Times New Roman"/>
          <w:i/>
          <w:iCs/>
          <w:color w:val="000000" w:themeColor="text1"/>
          <w:sz w:val="20"/>
          <w:szCs w:val="20"/>
          <w:lang w:val="en-US"/>
        </w:rPr>
        <w:t xml:space="preserve">ominant </w:t>
      </w:r>
      <w:r w:rsidRPr="00571506">
        <w:rPr>
          <w:rFonts w:ascii="Times New Roman" w:hAnsi="Times New Roman"/>
          <w:i/>
          <w:iCs/>
          <w:color w:val="000000" w:themeColor="text1"/>
          <w:sz w:val="20"/>
          <w:szCs w:val="20"/>
          <w:lang w:val="en-US"/>
        </w:rPr>
        <w:t>p</w:t>
      </w:r>
      <w:r w:rsidR="008813F9" w:rsidRPr="00571506">
        <w:rPr>
          <w:rFonts w:ascii="Times New Roman" w:hAnsi="Times New Roman"/>
          <w:i/>
          <w:iCs/>
          <w:color w:val="000000" w:themeColor="text1"/>
          <w:sz w:val="20"/>
          <w:szCs w:val="20"/>
          <w:lang w:val="en-US"/>
        </w:rPr>
        <w:t>athway</w:t>
      </w:r>
    </w:p>
    <w:p w14:paraId="3656ED7C" w14:textId="0EA641C5"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 xml:space="preserve">Electrification accounts for the majority of decarbonization gains in the industrial sector (Zhou et al., 2021; </w:t>
      </w:r>
      <w:proofErr w:type="spellStart"/>
      <w:r w:rsidRPr="008813F9">
        <w:rPr>
          <w:rFonts w:ascii="Times New Roman" w:hAnsi="Times New Roman"/>
          <w:color w:val="000000" w:themeColor="text1"/>
          <w:sz w:val="20"/>
          <w:szCs w:val="20"/>
          <w:lang w:val="en-US"/>
        </w:rPr>
        <w:t>Hasanbeigi</w:t>
      </w:r>
      <w:proofErr w:type="spellEnd"/>
      <w:r w:rsidRPr="008813F9">
        <w:rPr>
          <w:rFonts w:ascii="Times New Roman" w:hAnsi="Times New Roman"/>
          <w:color w:val="000000" w:themeColor="text1"/>
          <w:sz w:val="20"/>
          <w:szCs w:val="20"/>
          <w:lang w:val="en-US"/>
        </w:rPr>
        <w:t xml:space="preserve"> et al., 2020). Our results confirm this: sectors with high potential for electric process heat substitution</w:t>
      </w:r>
      <w:r w:rsidR="000457EA">
        <w:rPr>
          <w:rFonts w:ascii="Times New Roman" w:hAnsi="Times New Roman"/>
          <w:color w:val="000000" w:themeColor="text1"/>
          <w:sz w:val="20"/>
          <w:szCs w:val="20"/>
          <w:lang w:val="en-US"/>
        </w:rPr>
        <w:t xml:space="preserve"> – </w:t>
      </w:r>
      <w:r w:rsidRPr="008813F9">
        <w:rPr>
          <w:rFonts w:ascii="Times New Roman" w:hAnsi="Times New Roman"/>
          <w:color w:val="000000" w:themeColor="text1"/>
          <w:sz w:val="20"/>
          <w:szCs w:val="20"/>
          <w:lang w:val="en-US"/>
        </w:rPr>
        <w:t>e.g., Food &amp; Drink, Chemicals, Pulp and Paper</w:t>
      </w:r>
      <w:r w:rsidR="000457EA">
        <w:rPr>
          <w:rFonts w:ascii="Times New Roman" w:hAnsi="Times New Roman"/>
          <w:color w:val="000000" w:themeColor="text1"/>
          <w:sz w:val="20"/>
          <w:szCs w:val="20"/>
          <w:lang w:val="en-US"/>
        </w:rPr>
        <w:t xml:space="preserve"> – </w:t>
      </w:r>
      <w:r w:rsidRPr="008813F9">
        <w:rPr>
          <w:rFonts w:ascii="Times New Roman" w:hAnsi="Times New Roman"/>
          <w:color w:val="000000" w:themeColor="text1"/>
          <w:sz w:val="20"/>
          <w:szCs w:val="20"/>
          <w:lang w:val="en-US"/>
        </w:rPr>
        <w:t>face both the greatest emissions reductions and the largest grid constraints.</w:t>
      </w:r>
    </w:p>
    <w:p w14:paraId="3FE1802B"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However, even in optimized scenarios, electricity demand will increase by up to 850 GW, placing pressure on existing and future generation, transmission, and distribution networks (SGCC, 2023; NEA, 2023).</w:t>
      </w:r>
    </w:p>
    <w:p w14:paraId="48FECE75"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To mitigate this, policy must prioritize:</w:t>
      </w:r>
    </w:p>
    <w:p w14:paraId="72433A5D" w14:textId="77777777" w:rsidR="008813F9" w:rsidRPr="008813F9" w:rsidRDefault="008813F9">
      <w:pPr>
        <w:numPr>
          <w:ilvl w:val="0"/>
          <w:numId w:val="11"/>
        </w:numPr>
        <w:spacing w:after="0" w:line="240" w:lineRule="auto"/>
        <w:jc w:val="both"/>
        <w:rPr>
          <w:rFonts w:ascii="Times New Roman" w:hAnsi="Times New Roman"/>
          <w:color w:val="000000" w:themeColor="text1"/>
          <w:sz w:val="20"/>
          <w:szCs w:val="20"/>
        </w:rPr>
      </w:pPr>
      <w:r w:rsidRPr="008813F9">
        <w:rPr>
          <w:rFonts w:ascii="Times New Roman" w:hAnsi="Times New Roman"/>
          <w:color w:val="000000" w:themeColor="text1"/>
          <w:sz w:val="20"/>
          <w:szCs w:val="20"/>
        </w:rPr>
        <w:t xml:space="preserve">Advanced </w:t>
      </w:r>
      <w:proofErr w:type="spellStart"/>
      <w:r w:rsidRPr="008813F9">
        <w:rPr>
          <w:rFonts w:ascii="Times New Roman" w:hAnsi="Times New Roman"/>
          <w:color w:val="000000" w:themeColor="text1"/>
          <w:sz w:val="20"/>
          <w:szCs w:val="20"/>
        </w:rPr>
        <w:t>load</w:t>
      </w:r>
      <w:proofErr w:type="spellEnd"/>
      <w:r w:rsidRPr="008813F9">
        <w:rPr>
          <w:rFonts w:ascii="Times New Roman" w:hAnsi="Times New Roman"/>
          <w:color w:val="000000" w:themeColor="text1"/>
          <w:sz w:val="20"/>
          <w:szCs w:val="20"/>
        </w:rPr>
        <w:t xml:space="preserve"> management</w:t>
      </w:r>
    </w:p>
    <w:p w14:paraId="1822F627" w14:textId="77777777" w:rsidR="008813F9" w:rsidRPr="008813F9" w:rsidRDefault="008813F9">
      <w:pPr>
        <w:numPr>
          <w:ilvl w:val="0"/>
          <w:numId w:val="11"/>
        </w:num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Smart grid technologies and digital substations</w:t>
      </w:r>
    </w:p>
    <w:p w14:paraId="1049ED18" w14:textId="77777777" w:rsidR="008813F9" w:rsidRPr="008813F9" w:rsidRDefault="008813F9">
      <w:pPr>
        <w:numPr>
          <w:ilvl w:val="0"/>
          <w:numId w:val="11"/>
        </w:numPr>
        <w:spacing w:after="0" w:line="240" w:lineRule="auto"/>
        <w:jc w:val="both"/>
        <w:rPr>
          <w:rFonts w:ascii="Times New Roman" w:hAnsi="Times New Roman"/>
          <w:color w:val="000000" w:themeColor="text1"/>
          <w:sz w:val="20"/>
          <w:szCs w:val="20"/>
        </w:rPr>
      </w:pPr>
      <w:r w:rsidRPr="008813F9">
        <w:rPr>
          <w:rFonts w:ascii="Times New Roman" w:hAnsi="Times New Roman"/>
          <w:color w:val="000000" w:themeColor="text1"/>
          <w:sz w:val="20"/>
          <w:szCs w:val="20"/>
        </w:rPr>
        <w:t xml:space="preserve">Distributed </w:t>
      </w:r>
      <w:proofErr w:type="spellStart"/>
      <w:r w:rsidRPr="008813F9">
        <w:rPr>
          <w:rFonts w:ascii="Times New Roman" w:hAnsi="Times New Roman"/>
          <w:color w:val="000000" w:themeColor="text1"/>
          <w:sz w:val="20"/>
          <w:szCs w:val="20"/>
        </w:rPr>
        <w:t>energy</w:t>
      </w:r>
      <w:proofErr w:type="spellEnd"/>
      <w:r w:rsidRPr="008813F9">
        <w:rPr>
          <w:rFonts w:ascii="Times New Roman" w:hAnsi="Times New Roman"/>
          <w:color w:val="000000" w:themeColor="text1"/>
          <w:sz w:val="20"/>
          <w:szCs w:val="20"/>
        </w:rPr>
        <w:t xml:space="preserve"> </w:t>
      </w:r>
      <w:proofErr w:type="spellStart"/>
      <w:r w:rsidRPr="008813F9">
        <w:rPr>
          <w:rFonts w:ascii="Times New Roman" w:hAnsi="Times New Roman"/>
          <w:color w:val="000000" w:themeColor="text1"/>
          <w:sz w:val="20"/>
          <w:szCs w:val="20"/>
        </w:rPr>
        <w:t>integration</w:t>
      </w:r>
      <w:proofErr w:type="spellEnd"/>
      <w:r w:rsidRPr="008813F9">
        <w:rPr>
          <w:rFonts w:ascii="Times New Roman" w:hAnsi="Times New Roman"/>
          <w:color w:val="000000" w:themeColor="text1"/>
          <w:sz w:val="20"/>
          <w:szCs w:val="20"/>
        </w:rPr>
        <w:t xml:space="preserve"> (REN21, 2023)</w:t>
      </w:r>
    </w:p>
    <w:p w14:paraId="27B0450F" w14:textId="77777777" w:rsidR="00571506" w:rsidRDefault="00571506" w:rsidP="008813F9">
      <w:pPr>
        <w:spacing w:after="0" w:line="240" w:lineRule="auto"/>
        <w:jc w:val="both"/>
        <w:rPr>
          <w:rFonts w:ascii="Times New Roman" w:hAnsi="Times New Roman"/>
          <w:b/>
          <w:bCs/>
          <w:i/>
          <w:iCs/>
          <w:color w:val="000000" w:themeColor="text1"/>
          <w:sz w:val="20"/>
          <w:szCs w:val="20"/>
          <w:lang w:val="en-US"/>
        </w:rPr>
      </w:pPr>
    </w:p>
    <w:p w14:paraId="7F196AA9" w14:textId="2407B99C" w:rsidR="008813F9" w:rsidRPr="00571506" w:rsidRDefault="00571506" w:rsidP="008813F9">
      <w:pPr>
        <w:spacing w:after="0" w:line="240" w:lineRule="auto"/>
        <w:jc w:val="both"/>
        <w:rPr>
          <w:rFonts w:ascii="Times New Roman" w:hAnsi="Times New Roman"/>
          <w:i/>
          <w:iCs/>
          <w:color w:val="000000" w:themeColor="text1"/>
          <w:sz w:val="20"/>
          <w:szCs w:val="20"/>
          <w:lang w:val="en-US"/>
        </w:rPr>
      </w:pPr>
      <w:r w:rsidRPr="00571506">
        <w:rPr>
          <w:rFonts w:ascii="Times New Roman" w:hAnsi="Times New Roman"/>
          <w:i/>
          <w:iCs/>
          <w:color w:val="000000" w:themeColor="text1"/>
          <w:sz w:val="20"/>
          <w:szCs w:val="20"/>
          <w:lang w:val="en-US"/>
        </w:rPr>
        <w:t>6</w:t>
      </w:r>
      <w:r w:rsidR="008813F9" w:rsidRPr="00571506">
        <w:rPr>
          <w:rFonts w:ascii="Times New Roman" w:hAnsi="Times New Roman"/>
          <w:i/>
          <w:iCs/>
          <w:color w:val="000000" w:themeColor="text1"/>
          <w:sz w:val="20"/>
          <w:szCs w:val="20"/>
          <w:lang w:val="en-US"/>
        </w:rPr>
        <w:t>.3</w:t>
      </w:r>
      <w:r w:rsidRPr="00571506">
        <w:rPr>
          <w:rFonts w:ascii="Times New Roman" w:hAnsi="Times New Roman"/>
          <w:i/>
          <w:iCs/>
          <w:color w:val="000000" w:themeColor="text1"/>
          <w:sz w:val="20"/>
          <w:szCs w:val="20"/>
          <w:lang w:val="en-US"/>
        </w:rPr>
        <w:t>.</w:t>
      </w:r>
      <w:r w:rsidR="008813F9" w:rsidRPr="00571506">
        <w:rPr>
          <w:rFonts w:ascii="Times New Roman" w:hAnsi="Times New Roman"/>
          <w:i/>
          <w:iCs/>
          <w:color w:val="000000" w:themeColor="text1"/>
          <w:sz w:val="20"/>
          <w:szCs w:val="20"/>
          <w:lang w:val="en-US"/>
        </w:rPr>
        <w:t xml:space="preserve"> Prioritizing </w:t>
      </w:r>
      <w:r>
        <w:rPr>
          <w:rFonts w:ascii="Times New Roman" w:hAnsi="Times New Roman"/>
          <w:i/>
          <w:iCs/>
          <w:color w:val="000000" w:themeColor="text1"/>
          <w:sz w:val="20"/>
          <w:szCs w:val="20"/>
          <w:lang w:val="en-US"/>
        </w:rPr>
        <w:t>s</w:t>
      </w:r>
      <w:r w:rsidR="008813F9" w:rsidRPr="00571506">
        <w:rPr>
          <w:rFonts w:ascii="Times New Roman" w:hAnsi="Times New Roman"/>
          <w:i/>
          <w:iCs/>
          <w:color w:val="000000" w:themeColor="text1"/>
          <w:sz w:val="20"/>
          <w:szCs w:val="20"/>
          <w:lang w:val="en-US"/>
        </w:rPr>
        <w:t xml:space="preserve">ubstation </w:t>
      </w:r>
      <w:r>
        <w:rPr>
          <w:rFonts w:ascii="Times New Roman" w:hAnsi="Times New Roman"/>
          <w:i/>
          <w:iCs/>
          <w:color w:val="000000" w:themeColor="text1"/>
          <w:sz w:val="20"/>
          <w:szCs w:val="20"/>
          <w:lang w:val="en-US"/>
        </w:rPr>
        <w:t>u</w:t>
      </w:r>
      <w:r w:rsidR="008813F9" w:rsidRPr="00571506">
        <w:rPr>
          <w:rFonts w:ascii="Times New Roman" w:hAnsi="Times New Roman"/>
          <w:i/>
          <w:iCs/>
          <w:color w:val="000000" w:themeColor="text1"/>
          <w:sz w:val="20"/>
          <w:szCs w:val="20"/>
          <w:lang w:val="en-US"/>
        </w:rPr>
        <w:t xml:space="preserve">pgrades and </w:t>
      </w:r>
      <w:r>
        <w:rPr>
          <w:rFonts w:ascii="Times New Roman" w:hAnsi="Times New Roman"/>
          <w:i/>
          <w:iCs/>
          <w:color w:val="000000" w:themeColor="text1"/>
          <w:sz w:val="20"/>
          <w:szCs w:val="20"/>
          <w:lang w:val="en-US"/>
        </w:rPr>
        <w:t>t</w:t>
      </w:r>
      <w:r w:rsidR="008813F9" w:rsidRPr="00571506">
        <w:rPr>
          <w:rFonts w:ascii="Times New Roman" w:hAnsi="Times New Roman"/>
          <w:i/>
          <w:iCs/>
          <w:color w:val="000000" w:themeColor="text1"/>
          <w:sz w:val="20"/>
          <w:szCs w:val="20"/>
          <w:lang w:val="en-US"/>
        </w:rPr>
        <w:t xml:space="preserve">ransmission </w:t>
      </w:r>
      <w:r>
        <w:rPr>
          <w:rFonts w:ascii="Times New Roman" w:hAnsi="Times New Roman"/>
          <w:i/>
          <w:iCs/>
          <w:color w:val="000000" w:themeColor="text1"/>
          <w:sz w:val="20"/>
          <w:szCs w:val="20"/>
          <w:lang w:val="en-US"/>
        </w:rPr>
        <w:t>i</w:t>
      </w:r>
      <w:r w:rsidR="008813F9" w:rsidRPr="00571506">
        <w:rPr>
          <w:rFonts w:ascii="Times New Roman" w:hAnsi="Times New Roman"/>
          <w:i/>
          <w:iCs/>
          <w:color w:val="000000" w:themeColor="text1"/>
          <w:sz w:val="20"/>
          <w:szCs w:val="20"/>
          <w:lang w:val="en-US"/>
        </w:rPr>
        <w:t>nvestment</w:t>
      </w:r>
    </w:p>
    <w:p w14:paraId="0D1DD766"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Figure 7 clearly shows that substation overload and transmission bottlenecks are the leading causes of capacity constraints. These findings align with global decarbonization studies, including those by the Energy Transitions Commission (ETC, 2021) and China’s National Climate Strategy Center (NCSC, 2022), which emphasize that network investment must precede electrification rollouts.</w:t>
      </w:r>
    </w:p>
    <w:p w14:paraId="4CDD1D39"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Investment should be targeted based on the dual criteria of (a) sectoral emission intensity and (b) constraint severity. This justifies prioritizing upgrades in steel and chemical clusters of Hebei, Shandong, and Inner Mongolia.</w:t>
      </w:r>
    </w:p>
    <w:p w14:paraId="5A2961AD" w14:textId="77777777" w:rsidR="00571506" w:rsidRDefault="00571506" w:rsidP="008813F9">
      <w:pPr>
        <w:spacing w:after="0" w:line="240" w:lineRule="auto"/>
        <w:jc w:val="both"/>
        <w:rPr>
          <w:rFonts w:ascii="Times New Roman" w:hAnsi="Times New Roman"/>
          <w:b/>
          <w:bCs/>
          <w:i/>
          <w:iCs/>
          <w:color w:val="000000" w:themeColor="text1"/>
          <w:sz w:val="20"/>
          <w:szCs w:val="20"/>
          <w:lang w:val="en-US"/>
        </w:rPr>
      </w:pPr>
    </w:p>
    <w:p w14:paraId="59B70440" w14:textId="681FF508" w:rsidR="008813F9" w:rsidRPr="00571506" w:rsidRDefault="00571506" w:rsidP="008813F9">
      <w:pPr>
        <w:spacing w:after="0" w:line="240" w:lineRule="auto"/>
        <w:jc w:val="both"/>
        <w:rPr>
          <w:rFonts w:ascii="Times New Roman" w:hAnsi="Times New Roman"/>
          <w:i/>
          <w:iCs/>
          <w:color w:val="000000" w:themeColor="text1"/>
          <w:sz w:val="20"/>
          <w:szCs w:val="20"/>
          <w:lang w:val="en-US"/>
        </w:rPr>
      </w:pPr>
      <w:r w:rsidRPr="00571506">
        <w:rPr>
          <w:rFonts w:ascii="Times New Roman" w:hAnsi="Times New Roman"/>
          <w:i/>
          <w:iCs/>
          <w:color w:val="000000" w:themeColor="text1"/>
          <w:sz w:val="20"/>
          <w:szCs w:val="20"/>
          <w:lang w:val="en-US"/>
        </w:rPr>
        <w:t>6</w:t>
      </w:r>
      <w:r w:rsidR="008813F9" w:rsidRPr="00571506">
        <w:rPr>
          <w:rFonts w:ascii="Times New Roman" w:hAnsi="Times New Roman"/>
          <w:i/>
          <w:iCs/>
          <w:color w:val="000000" w:themeColor="text1"/>
          <w:sz w:val="20"/>
          <w:szCs w:val="20"/>
          <w:lang w:val="en-US"/>
        </w:rPr>
        <w:t>.4</w:t>
      </w:r>
      <w:r w:rsidRPr="00571506">
        <w:rPr>
          <w:rFonts w:ascii="Times New Roman" w:hAnsi="Times New Roman"/>
          <w:i/>
          <w:iCs/>
          <w:color w:val="000000" w:themeColor="text1"/>
          <w:sz w:val="20"/>
          <w:szCs w:val="20"/>
          <w:lang w:val="en-US"/>
        </w:rPr>
        <w:t>.</w:t>
      </w:r>
      <w:r w:rsidR="008813F9" w:rsidRPr="00571506">
        <w:rPr>
          <w:rFonts w:ascii="Times New Roman" w:hAnsi="Times New Roman"/>
          <w:i/>
          <w:iCs/>
          <w:color w:val="000000" w:themeColor="text1"/>
          <w:sz w:val="20"/>
          <w:szCs w:val="20"/>
          <w:lang w:val="en-US"/>
        </w:rPr>
        <w:t xml:space="preserve"> Aligning </w:t>
      </w:r>
      <w:r w:rsidRPr="00571506">
        <w:rPr>
          <w:rFonts w:ascii="Times New Roman" w:hAnsi="Times New Roman"/>
          <w:i/>
          <w:iCs/>
          <w:color w:val="000000" w:themeColor="text1"/>
          <w:sz w:val="20"/>
          <w:szCs w:val="20"/>
          <w:lang w:val="en-US"/>
        </w:rPr>
        <w:t>c</w:t>
      </w:r>
      <w:r w:rsidR="008813F9" w:rsidRPr="00571506">
        <w:rPr>
          <w:rFonts w:ascii="Times New Roman" w:hAnsi="Times New Roman"/>
          <w:i/>
          <w:iCs/>
          <w:color w:val="000000" w:themeColor="text1"/>
          <w:sz w:val="20"/>
          <w:szCs w:val="20"/>
          <w:lang w:val="en-US"/>
        </w:rPr>
        <w:t xml:space="preserve">apacity </w:t>
      </w:r>
      <w:r w:rsidRPr="00571506">
        <w:rPr>
          <w:rFonts w:ascii="Times New Roman" w:hAnsi="Times New Roman"/>
          <w:i/>
          <w:iCs/>
          <w:color w:val="000000" w:themeColor="text1"/>
          <w:sz w:val="20"/>
          <w:szCs w:val="20"/>
          <w:lang w:val="en-US"/>
        </w:rPr>
        <w:t>p</w:t>
      </w:r>
      <w:r w:rsidR="008813F9" w:rsidRPr="00571506">
        <w:rPr>
          <w:rFonts w:ascii="Times New Roman" w:hAnsi="Times New Roman"/>
          <w:i/>
          <w:iCs/>
          <w:color w:val="000000" w:themeColor="text1"/>
          <w:sz w:val="20"/>
          <w:szCs w:val="20"/>
          <w:lang w:val="en-US"/>
        </w:rPr>
        <w:t xml:space="preserve">lanning with </w:t>
      </w:r>
      <w:r w:rsidRPr="00571506">
        <w:rPr>
          <w:rFonts w:ascii="Times New Roman" w:hAnsi="Times New Roman"/>
          <w:i/>
          <w:iCs/>
          <w:color w:val="000000" w:themeColor="text1"/>
          <w:sz w:val="20"/>
          <w:szCs w:val="20"/>
          <w:lang w:val="en-US"/>
        </w:rPr>
        <w:t>i</w:t>
      </w:r>
      <w:r w:rsidR="008813F9" w:rsidRPr="00571506">
        <w:rPr>
          <w:rFonts w:ascii="Times New Roman" w:hAnsi="Times New Roman"/>
          <w:i/>
          <w:iCs/>
          <w:color w:val="000000" w:themeColor="text1"/>
          <w:sz w:val="20"/>
          <w:szCs w:val="20"/>
          <w:lang w:val="en-US"/>
        </w:rPr>
        <w:t xml:space="preserve">ndustrial </w:t>
      </w:r>
      <w:r w:rsidRPr="00571506">
        <w:rPr>
          <w:rFonts w:ascii="Times New Roman" w:hAnsi="Times New Roman"/>
          <w:i/>
          <w:iCs/>
          <w:color w:val="000000" w:themeColor="text1"/>
          <w:sz w:val="20"/>
          <w:szCs w:val="20"/>
          <w:lang w:val="en-US"/>
        </w:rPr>
        <w:t>c</w:t>
      </w:r>
      <w:r w:rsidR="008813F9" w:rsidRPr="00571506">
        <w:rPr>
          <w:rFonts w:ascii="Times New Roman" w:hAnsi="Times New Roman"/>
          <w:i/>
          <w:iCs/>
          <w:color w:val="000000" w:themeColor="text1"/>
          <w:sz w:val="20"/>
          <w:szCs w:val="20"/>
          <w:lang w:val="en-US"/>
        </w:rPr>
        <w:t xml:space="preserve">arbon </w:t>
      </w:r>
      <w:r w:rsidRPr="00571506">
        <w:rPr>
          <w:rFonts w:ascii="Times New Roman" w:hAnsi="Times New Roman"/>
          <w:i/>
          <w:iCs/>
          <w:color w:val="000000" w:themeColor="text1"/>
          <w:sz w:val="20"/>
          <w:szCs w:val="20"/>
          <w:lang w:val="en-US"/>
        </w:rPr>
        <w:t>b</w:t>
      </w:r>
      <w:r w:rsidR="008813F9" w:rsidRPr="00571506">
        <w:rPr>
          <w:rFonts w:ascii="Times New Roman" w:hAnsi="Times New Roman"/>
          <w:i/>
          <w:iCs/>
          <w:color w:val="000000" w:themeColor="text1"/>
          <w:sz w:val="20"/>
          <w:szCs w:val="20"/>
          <w:lang w:val="en-US"/>
        </w:rPr>
        <w:t>udgets</w:t>
      </w:r>
    </w:p>
    <w:p w14:paraId="5D2ADE58"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 xml:space="preserve">Baseline emissions data (Figure 8) shows that failure to enable electrification leads to over 130 </w:t>
      </w:r>
      <w:proofErr w:type="spellStart"/>
      <w:r w:rsidRPr="008813F9">
        <w:rPr>
          <w:rFonts w:ascii="Times New Roman" w:hAnsi="Times New Roman"/>
          <w:color w:val="000000" w:themeColor="text1"/>
          <w:sz w:val="20"/>
          <w:szCs w:val="20"/>
          <w:lang w:val="en-US"/>
        </w:rPr>
        <w:t>MtCO₂e</w:t>
      </w:r>
      <w:proofErr w:type="spellEnd"/>
      <w:r w:rsidRPr="008813F9">
        <w:rPr>
          <w:rFonts w:ascii="Times New Roman" w:hAnsi="Times New Roman"/>
          <w:color w:val="000000" w:themeColor="text1"/>
          <w:sz w:val="20"/>
          <w:szCs w:val="20"/>
          <w:lang w:val="en-US"/>
        </w:rPr>
        <w:t xml:space="preserve"> of stranded emissions annually from just 6 sectors. These emissions conflict with the IPCC-aligned national carbon budget (UNEP, 2023) and could derail the 2030 peak and 2060 neutrality commitments unless mitigated.</w:t>
      </w:r>
    </w:p>
    <w:p w14:paraId="50A0C0AA" w14:textId="1CB9DB5E" w:rsid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lastRenderedPageBreak/>
        <w:t xml:space="preserve">Incorporating </w:t>
      </w:r>
      <w:r w:rsidRPr="008813F9">
        <w:rPr>
          <w:rFonts w:ascii="Times New Roman" w:hAnsi="Times New Roman"/>
          <w:b/>
          <w:bCs/>
          <w:color w:val="000000" w:themeColor="text1"/>
          <w:sz w:val="20"/>
          <w:szCs w:val="20"/>
          <w:lang w:val="en-US"/>
        </w:rPr>
        <w:t>industrial carbon budgets</w:t>
      </w:r>
      <w:r w:rsidRPr="008813F9">
        <w:rPr>
          <w:rFonts w:ascii="Times New Roman" w:hAnsi="Times New Roman"/>
          <w:color w:val="000000" w:themeColor="text1"/>
          <w:sz w:val="20"/>
          <w:szCs w:val="20"/>
          <w:lang w:val="en-US"/>
        </w:rPr>
        <w:t xml:space="preserve"> into the national grid planning process</w:t>
      </w:r>
      <w:r w:rsidR="00571506">
        <w:rPr>
          <w:rFonts w:ascii="Times New Roman" w:hAnsi="Times New Roman"/>
          <w:color w:val="000000" w:themeColor="text1"/>
          <w:sz w:val="20"/>
          <w:szCs w:val="20"/>
          <w:lang w:val="en-US"/>
        </w:rPr>
        <w:t xml:space="preserve"> – </w:t>
      </w:r>
      <w:r w:rsidRPr="008813F9">
        <w:rPr>
          <w:rFonts w:ascii="Times New Roman" w:hAnsi="Times New Roman"/>
          <w:color w:val="000000" w:themeColor="text1"/>
          <w:sz w:val="20"/>
          <w:szCs w:val="20"/>
          <w:lang w:val="en-US"/>
        </w:rPr>
        <w:t>as proposed by the China Electricity Council (2023)</w:t>
      </w:r>
      <w:r w:rsidR="00571506">
        <w:rPr>
          <w:rFonts w:ascii="Times New Roman" w:hAnsi="Times New Roman"/>
          <w:color w:val="000000" w:themeColor="text1"/>
          <w:sz w:val="20"/>
          <w:szCs w:val="20"/>
          <w:lang w:val="en-US"/>
        </w:rPr>
        <w:t xml:space="preserve"> – </w:t>
      </w:r>
      <w:r w:rsidRPr="008813F9">
        <w:rPr>
          <w:rFonts w:ascii="Times New Roman" w:hAnsi="Times New Roman"/>
          <w:color w:val="000000" w:themeColor="text1"/>
          <w:sz w:val="20"/>
          <w:szCs w:val="20"/>
          <w:lang w:val="en-US"/>
        </w:rPr>
        <w:t>would allow grid developers to prioritize upgrades based on marginal abatement cost and emissions avoidance potential.</w:t>
      </w:r>
    </w:p>
    <w:p w14:paraId="7CD54245" w14:textId="77777777" w:rsidR="00571506" w:rsidRDefault="00571506" w:rsidP="008813F9">
      <w:pPr>
        <w:spacing w:after="0" w:line="240" w:lineRule="auto"/>
        <w:jc w:val="both"/>
        <w:rPr>
          <w:rFonts w:ascii="Times New Roman" w:hAnsi="Times New Roman"/>
          <w:color w:val="000000" w:themeColor="text1"/>
          <w:sz w:val="20"/>
          <w:szCs w:val="20"/>
          <w:lang w:val="en-US"/>
        </w:rPr>
      </w:pPr>
    </w:p>
    <w:p w14:paraId="1BF45DD5" w14:textId="77777777" w:rsidR="00571506" w:rsidRPr="008813F9" w:rsidRDefault="00571506" w:rsidP="008813F9">
      <w:pPr>
        <w:spacing w:after="0" w:line="240" w:lineRule="auto"/>
        <w:jc w:val="both"/>
        <w:rPr>
          <w:rFonts w:ascii="Times New Roman" w:hAnsi="Times New Roman"/>
          <w:color w:val="000000" w:themeColor="text1"/>
          <w:sz w:val="20"/>
          <w:szCs w:val="20"/>
          <w:lang w:val="en-US"/>
        </w:rPr>
      </w:pPr>
    </w:p>
    <w:p w14:paraId="420C2CC6" w14:textId="2916292A" w:rsidR="008813F9" w:rsidRPr="00571506" w:rsidRDefault="00571506" w:rsidP="008813F9">
      <w:pPr>
        <w:spacing w:after="0" w:line="240" w:lineRule="auto"/>
        <w:jc w:val="both"/>
        <w:rPr>
          <w:rFonts w:ascii="Times New Roman" w:hAnsi="Times New Roman"/>
          <w:i/>
          <w:iCs/>
          <w:color w:val="000000" w:themeColor="text1"/>
          <w:sz w:val="20"/>
          <w:szCs w:val="20"/>
          <w:lang w:val="en-US"/>
        </w:rPr>
      </w:pPr>
      <w:r w:rsidRPr="00571506">
        <w:rPr>
          <w:rFonts w:ascii="Times New Roman" w:hAnsi="Times New Roman"/>
          <w:i/>
          <w:iCs/>
          <w:color w:val="000000" w:themeColor="text1"/>
          <w:sz w:val="20"/>
          <w:szCs w:val="20"/>
          <w:lang w:val="en-US"/>
        </w:rPr>
        <w:t>6</w:t>
      </w:r>
      <w:r w:rsidR="008813F9" w:rsidRPr="00571506">
        <w:rPr>
          <w:rFonts w:ascii="Times New Roman" w:hAnsi="Times New Roman"/>
          <w:i/>
          <w:iCs/>
          <w:color w:val="000000" w:themeColor="text1"/>
          <w:sz w:val="20"/>
          <w:szCs w:val="20"/>
          <w:lang w:val="en-US"/>
        </w:rPr>
        <w:t>.5</w:t>
      </w:r>
      <w:r w:rsidRPr="00571506">
        <w:rPr>
          <w:rFonts w:ascii="Times New Roman" w:hAnsi="Times New Roman"/>
          <w:i/>
          <w:iCs/>
          <w:color w:val="000000" w:themeColor="text1"/>
          <w:sz w:val="20"/>
          <w:szCs w:val="20"/>
          <w:lang w:val="en-US"/>
        </w:rPr>
        <w:t>.</w:t>
      </w:r>
      <w:r w:rsidR="008813F9" w:rsidRPr="00571506">
        <w:rPr>
          <w:rFonts w:ascii="Times New Roman" w:hAnsi="Times New Roman"/>
          <w:i/>
          <w:iCs/>
          <w:color w:val="000000" w:themeColor="text1"/>
          <w:sz w:val="20"/>
          <w:szCs w:val="20"/>
          <w:lang w:val="en-US"/>
        </w:rPr>
        <w:t xml:space="preserve"> Location-</w:t>
      </w:r>
      <w:r w:rsidRPr="00571506">
        <w:rPr>
          <w:rFonts w:ascii="Times New Roman" w:hAnsi="Times New Roman"/>
          <w:i/>
          <w:iCs/>
          <w:color w:val="000000" w:themeColor="text1"/>
          <w:sz w:val="20"/>
          <w:szCs w:val="20"/>
          <w:lang w:val="en-US"/>
        </w:rPr>
        <w:t>s</w:t>
      </w:r>
      <w:r w:rsidR="008813F9" w:rsidRPr="00571506">
        <w:rPr>
          <w:rFonts w:ascii="Times New Roman" w:hAnsi="Times New Roman"/>
          <w:i/>
          <w:iCs/>
          <w:color w:val="000000" w:themeColor="text1"/>
          <w:sz w:val="20"/>
          <w:szCs w:val="20"/>
          <w:lang w:val="en-US"/>
        </w:rPr>
        <w:t xml:space="preserve">pecific </w:t>
      </w:r>
      <w:r w:rsidRPr="00571506">
        <w:rPr>
          <w:rFonts w:ascii="Times New Roman" w:hAnsi="Times New Roman"/>
          <w:i/>
          <w:iCs/>
          <w:color w:val="000000" w:themeColor="text1"/>
          <w:sz w:val="20"/>
          <w:szCs w:val="20"/>
          <w:lang w:val="en-US"/>
        </w:rPr>
        <w:t>g</w:t>
      </w:r>
      <w:r w:rsidR="008813F9" w:rsidRPr="00571506">
        <w:rPr>
          <w:rFonts w:ascii="Times New Roman" w:hAnsi="Times New Roman"/>
          <w:i/>
          <w:iCs/>
          <w:color w:val="000000" w:themeColor="text1"/>
          <w:sz w:val="20"/>
          <w:szCs w:val="20"/>
          <w:lang w:val="en-US"/>
        </w:rPr>
        <w:t xml:space="preserve">rid </w:t>
      </w:r>
      <w:r w:rsidRPr="00571506">
        <w:rPr>
          <w:rFonts w:ascii="Times New Roman" w:hAnsi="Times New Roman"/>
          <w:i/>
          <w:iCs/>
          <w:color w:val="000000" w:themeColor="text1"/>
          <w:sz w:val="20"/>
          <w:szCs w:val="20"/>
          <w:lang w:val="en-US"/>
        </w:rPr>
        <w:t>s</w:t>
      </w:r>
      <w:r w:rsidR="008813F9" w:rsidRPr="00571506">
        <w:rPr>
          <w:rFonts w:ascii="Times New Roman" w:hAnsi="Times New Roman"/>
          <w:i/>
          <w:iCs/>
          <w:color w:val="000000" w:themeColor="text1"/>
          <w:sz w:val="20"/>
          <w:szCs w:val="20"/>
          <w:lang w:val="en-US"/>
        </w:rPr>
        <w:t>olutions</w:t>
      </w:r>
    </w:p>
    <w:p w14:paraId="681E7ACC"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Figure 10 highlights the vulnerability of suburban and remote industrial zones, which together host over 60% of constrained sites. These areas often fall outside urban infrastructure planning, requiring tailored solutions:</w:t>
      </w:r>
    </w:p>
    <w:p w14:paraId="7459E043" w14:textId="08C087B4" w:rsidR="008813F9" w:rsidRPr="00571506" w:rsidRDefault="008813F9">
      <w:pPr>
        <w:numPr>
          <w:ilvl w:val="0"/>
          <w:numId w:val="12"/>
        </w:numPr>
        <w:spacing w:after="0" w:line="240" w:lineRule="auto"/>
        <w:jc w:val="both"/>
        <w:rPr>
          <w:rFonts w:ascii="Times New Roman" w:hAnsi="Times New Roman"/>
          <w:color w:val="000000" w:themeColor="text1"/>
          <w:sz w:val="20"/>
          <w:szCs w:val="20"/>
        </w:rPr>
      </w:pPr>
      <w:r w:rsidRPr="00571506">
        <w:rPr>
          <w:rFonts w:ascii="Times New Roman" w:hAnsi="Times New Roman"/>
          <w:color w:val="000000" w:themeColor="text1"/>
          <w:sz w:val="20"/>
          <w:szCs w:val="20"/>
        </w:rPr>
        <w:t xml:space="preserve">Mobile </w:t>
      </w:r>
      <w:proofErr w:type="spellStart"/>
      <w:r w:rsidRPr="00571506">
        <w:rPr>
          <w:rFonts w:ascii="Times New Roman" w:hAnsi="Times New Roman"/>
          <w:color w:val="000000" w:themeColor="text1"/>
          <w:sz w:val="20"/>
          <w:szCs w:val="20"/>
        </w:rPr>
        <w:t>substations</w:t>
      </w:r>
      <w:proofErr w:type="spellEnd"/>
      <w:r w:rsidR="00571506">
        <w:rPr>
          <w:rFonts w:ascii="Times New Roman" w:hAnsi="Times New Roman"/>
          <w:color w:val="000000" w:themeColor="text1"/>
          <w:sz w:val="20"/>
          <w:szCs w:val="20"/>
        </w:rPr>
        <w:t>.</w:t>
      </w:r>
    </w:p>
    <w:p w14:paraId="36FD69B8" w14:textId="5D22B744" w:rsidR="008813F9" w:rsidRPr="00571506" w:rsidRDefault="008813F9">
      <w:pPr>
        <w:numPr>
          <w:ilvl w:val="0"/>
          <w:numId w:val="12"/>
        </w:numPr>
        <w:spacing w:after="0" w:line="240" w:lineRule="auto"/>
        <w:jc w:val="both"/>
        <w:rPr>
          <w:rFonts w:ascii="Times New Roman" w:hAnsi="Times New Roman"/>
          <w:color w:val="000000" w:themeColor="text1"/>
          <w:sz w:val="20"/>
          <w:szCs w:val="20"/>
        </w:rPr>
      </w:pPr>
      <w:r w:rsidRPr="00571506">
        <w:rPr>
          <w:rFonts w:ascii="Times New Roman" w:hAnsi="Times New Roman"/>
          <w:color w:val="000000" w:themeColor="text1"/>
          <w:sz w:val="20"/>
          <w:szCs w:val="20"/>
        </w:rPr>
        <w:t xml:space="preserve">Battery </w:t>
      </w:r>
      <w:proofErr w:type="spellStart"/>
      <w:r w:rsidRPr="00571506">
        <w:rPr>
          <w:rFonts w:ascii="Times New Roman" w:hAnsi="Times New Roman"/>
          <w:color w:val="000000" w:themeColor="text1"/>
          <w:sz w:val="20"/>
          <w:szCs w:val="20"/>
        </w:rPr>
        <w:t>storage</w:t>
      </w:r>
      <w:proofErr w:type="spellEnd"/>
      <w:r w:rsidRPr="00571506">
        <w:rPr>
          <w:rFonts w:ascii="Times New Roman" w:hAnsi="Times New Roman"/>
          <w:color w:val="000000" w:themeColor="text1"/>
          <w:sz w:val="20"/>
          <w:szCs w:val="20"/>
        </w:rPr>
        <w:t xml:space="preserve"> </w:t>
      </w:r>
      <w:proofErr w:type="spellStart"/>
      <w:r w:rsidRPr="00571506">
        <w:rPr>
          <w:rFonts w:ascii="Times New Roman" w:hAnsi="Times New Roman"/>
          <w:color w:val="000000" w:themeColor="text1"/>
          <w:sz w:val="20"/>
          <w:szCs w:val="20"/>
        </w:rPr>
        <w:t>integration</w:t>
      </w:r>
      <w:proofErr w:type="spellEnd"/>
      <w:r w:rsidR="00571506">
        <w:rPr>
          <w:rFonts w:ascii="Times New Roman" w:hAnsi="Times New Roman"/>
          <w:color w:val="000000" w:themeColor="text1"/>
          <w:sz w:val="20"/>
          <w:szCs w:val="20"/>
        </w:rPr>
        <w:t>.</w:t>
      </w:r>
    </w:p>
    <w:p w14:paraId="32CD8997" w14:textId="17DD925C" w:rsidR="008813F9" w:rsidRPr="00571506" w:rsidRDefault="008813F9">
      <w:pPr>
        <w:numPr>
          <w:ilvl w:val="0"/>
          <w:numId w:val="12"/>
        </w:numPr>
        <w:spacing w:after="0" w:line="240" w:lineRule="auto"/>
        <w:jc w:val="both"/>
        <w:rPr>
          <w:rFonts w:ascii="Times New Roman" w:hAnsi="Times New Roman"/>
          <w:color w:val="000000" w:themeColor="text1"/>
          <w:sz w:val="20"/>
          <w:szCs w:val="20"/>
          <w:lang w:val="en-US"/>
        </w:rPr>
      </w:pPr>
      <w:r w:rsidRPr="00571506">
        <w:rPr>
          <w:rFonts w:ascii="Times New Roman" w:hAnsi="Times New Roman"/>
          <w:color w:val="000000" w:themeColor="text1"/>
          <w:sz w:val="20"/>
          <w:szCs w:val="20"/>
          <w:lang w:val="en-US"/>
        </w:rPr>
        <w:t>Grid-friendly zoning incentives (Cao et al., 2023)</w:t>
      </w:r>
      <w:r w:rsidR="00571506">
        <w:rPr>
          <w:rFonts w:ascii="Times New Roman" w:hAnsi="Times New Roman"/>
          <w:color w:val="000000" w:themeColor="text1"/>
          <w:sz w:val="20"/>
          <w:szCs w:val="20"/>
          <w:lang w:val="en-US"/>
        </w:rPr>
        <w:t>.</w:t>
      </w:r>
    </w:p>
    <w:p w14:paraId="12244637" w14:textId="77777777" w:rsid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These should be embedded into the 15th Five-Year Plan and new regional development strategies.</w:t>
      </w:r>
    </w:p>
    <w:p w14:paraId="2117C151" w14:textId="77777777" w:rsidR="00571506" w:rsidRPr="008813F9" w:rsidRDefault="00571506" w:rsidP="008813F9">
      <w:pPr>
        <w:spacing w:after="0" w:line="240" w:lineRule="auto"/>
        <w:jc w:val="both"/>
        <w:rPr>
          <w:rFonts w:ascii="Times New Roman" w:hAnsi="Times New Roman"/>
          <w:color w:val="000000" w:themeColor="text1"/>
          <w:sz w:val="20"/>
          <w:szCs w:val="20"/>
          <w:lang w:val="en-US"/>
        </w:rPr>
      </w:pPr>
    </w:p>
    <w:p w14:paraId="14A67616" w14:textId="574A88A8" w:rsidR="008813F9" w:rsidRPr="00571506" w:rsidRDefault="00571506" w:rsidP="008813F9">
      <w:pPr>
        <w:spacing w:after="0" w:line="240" w:lineRule="auto"/>
        <w:jc w:val="both"/>
        <w:rPr>
          <w:rFonts w:ascii="Times New Roman" w:hAnsi="Times New Roman"/>
          <w:i/>
          <w:iCs/>
          <w:color w:val="000000" w:themeColor="text1"/>
          <w:sz w:val="20"/>
          <w:szCs w:val="20"/>
          <w:lang w:val="en-US"/>
        </w:rPr>
      </w:pPr>
      <w:r w:rsidRPr="00571506">
        <w:rPr>
          <w:rFonts w:ascii="Times New Roman" w:hAnsi="Times New Roman"/>
          <w:i/>
          <w:iCs/>
          <w:color w:val="000000" w:themeColor="text1"/>
          <w:sz w:val="20"/>
          <w:szCs w:val="20"/>
          <w:lang w:val="en-US"/>
        </w:rPr>
        <w:t>6</w:t>
      </w:r>
      <w:r w:rsidR="008813F9" w:rsidRPr="00571506">
        <w:rPr>
          <w:rFonts w:ascii="Times New Roman" w:hAnsi="Times New Roman"/>
          <w:i/>
          <w:iCs/>
          <w:color w:val="000000" w:themeColor="text1"/>
          <w:sz w:val="20"/>
          <w:szCs w:val="20"/>
          <w:lang w:val="en-US"/>
        </w:rPr>
        <w:t>.6</w:t>
      </w:r>
      <w:r w:rsidRPr="00571506">
        <w:rPr>
          <w:rFonts w:ascii="Times New Roman" w:hAnsi="Times New Roman"/>
          <w:i/>
          <w:iCs/>
          <w:color w:val="000000" w:themeColor="text1"/>
          <w:sz w:val="20"/>
          <w:szCs w:val="20"/>
          <w:lang w:val="en-US"/>
        </w:rPr>
        <w:t>.</w:t>
      </w:r>
      <w:r w:rsidR="008813F9" w:rsidRPr="00571506">
        <w:rPr>
          <w:rFonts w:ascii="Times New Roman" w:hAnsi="Times New Roman"/>
          <w:i/>
          <w:iCs/>
          <w:color w:val="000000" w:themeColor="text1"/>
          <w:sz w:val="20"/>
          <w:szCs w:val="20"/>
          <w:lang w:val="en-US"/>
        </w:rPr>
        <w:t xml:space="preserve"> Sensitivity to </w:t>
      </w:r>
      <w:r w:rsidRPr="00571506">
        <w:rPr>
          <w:rFonts w:ascii="Times New Roman" w:hAnsi="Times New Roman"/>
          <w:i/>
          <w:iCs/>
          <w:color w:val="000000" w:themeColor="text1"/>
          <w:sz w:val="20"/>
          <w:szCs w:val="20"/>
          <w:lang w:val="en-US"/>
        </w:rPr>
        <w:t>e</w:t>
      </w:r>
      <w:r w:rsidR="008813F9" w:rsidRPr="00571506">
        <w:rPr>
          <w:rFonts w:ascii="Times New Roman" w:hAnsi="Times New Roman"/>
          <w:i/>
          <w:iCs/>
          <w:color w:val="000000" w:themeColor="text1"/>
          <w:sz w:val="20"/>
          <w:szCs w:val="20"/>
          <w:lang w:val="en-US"/>
        </w:rPr>
        <w:t>lectrification and Renewable Energy Exclusion Scenarios</w:t>
      </w:r>
    </w:p>
    <w:p w14:paraId="510CF61E"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To assess uncertainty, we compare constraint exposure under three stress test scenarios:</w:t>
      </w:r>
    </w:p>
    <w:p w14:paraId="794ACBB7" w14:textId="61698845" w:rsidR="008813F9" w:rsidRPr="00571506" w:rsidRDefault="008813F9">
      <w:pPr>
        <w:numPr>
          <w:ilvl w:val="0"/>
          <w:numId w:val="13"/>
        </w:numPr>
        <w:spacing w:after="0" w:line="240" w:lineRule="auto"/>
        <w:jc w:val="both"/>
        <w:rPr>
          <w:rFonts w:ascii="Times New Roman" w:hAnsi="Times New Roman"/>
          <w:color w:val="000000" w:themeColor="text1"/>
          <w:sz w:val="20"/>
          <w:szCs w:val="20"/>
          <w:lang w:val="en-US"/>
        </w:rPr>
      </w:pPr>
      <w:r w:rsidRPr="00571506">
        <w:rPr>
          <w:rFonts w:ascii="Times New Roman" w:hAnsi="Times New Roman"/>
          <w:color w:val="000000" w:themeColor="text1"/>
          <w:sz w:val="20"/>
          <w:szCs w:val="20"/>
          <w:lang w:val="en-US"/>
        </w:rPr>
        <w:t>No REEE (no renewable energy and energy efficiency expansion)</w:t>
      </w:r>
      <w:r w:rsidR="00571506">
        <w:rPr>
          <w:rFonts w:ascii="Times New Roman" w:hAnsi="Times New Roman"/>
          <w:color w:val="000000" w:themeColor="text1"/>
          <w:sz w:val="20"/>
          <w:szCs w:val="20"/>
          <w:lang w:val="en-US"/>
        </w:rPr>
        <w:t>.</w:t>
      </w:r>
    </w:p>
    <w:p w14:paraId="45761E1F" w14:textId="289DA6D8" w:rsidR="008813F9" w:rsidRPr="00571506" w:rsidRDefault="008813F9">
      <w:pPr>
        <w:numPr>
          <w:ilvl w:val="0"/>
          <w:numId w:val="13"/>
        </w:numPr>
        <w:spacing w:after="0" w:line="240" w:lineRule="auto"/>
        <w:jc w:val="both"/>
        <w:rPr>
          <w:rFonts w:ascii="Times New Roman" w:hAnsi="Times New Roman"/>
          <w:color w:val="000000" w:themeColor="text1"/>
          <w:sz w:val="20"/>
          <w:szCs w:val="20"/>
        </w:rPr>
      </w:pPr>
      <w:r w:rsidRPr="00571506">
        <w:rPr>
          <w:rFonts w:ascii="Times New Roman" w:hAnsi="Times New Roman"/>
          <w:color w:val="000000" w:themeColor="text1"/>
          <w:sz w:val="20"/>
          <w:szCs w:val="20"/>
        </w:rPr>
        <w:t xml:space="preserve">Max </w:t>
      </w:r>
      <w:proofErr w:type="spellStart"/>
      <w:r w:rsidRPr="00571506">
        <w:rPr>
          <w:rFonts w:ascii="Times New Roman" w:hAnsi="Times New Roman"/>
          <w:color w:val="000000" w:themeColor="text1"/>
          <w:sz w:val="20"/>
          <w:szCs w:val="20"/>
        </w:rPr>
        <w:t>Electrification</w:t>
      </w:r>
      <w:proofErr w:type="spellEnd"/>
      <w:r w:rsidR="00571506">
        <w:rPr>
          <w:rFonts w:ascii="Times New Roman" w:hAnsi="Times New Roman"/>
          <w:color w:val="000000" w:themeColor="text1"/>
          <w:sz w:val="20"/>
          <w:szCs w:val="20"/>
        </w:rPr>
        <w:t>.</w:t>
      </w:r>
    </w:p>
    <w:p w14:paraId="5F6E61CD" w14:textId="431675E6" w:rsidR="008813F9" w:rsidRDefault="008813F9">
      <w:pPr>
        <w:numPr>
          <w:ilvl w:val="0"/>
          <w:numId w:val="13"/>
        </w:numPr>
        <w:spacing w:after="0" w:line="240" w:lineRule="auto"/>
        <w:jc w:val="both"/>
        <w:rPr>
          <w:rFonts w:ascii="Times New Roman" w:hAnsi="Times New Roman"/>
          <w:color w:val="000000" w:themeColor="text1"/>
          <w:sz w:val="20"/>
          <w:szCs w:val="20"/>
          <w:lang w:val="en-US"/>
        </w:rPr>
      </w:pPr>
      <w:r w:rsidRPr="00571506">
        <w:rPr>
          <w:rFonts w:ascii="Times New Roman" w:hAnsi="Times New Roman"/>
          <w:color w:val="000000" w:themeColor="text1"/>
          <w:sz w:val="20"/>
          <w:szCs w:val="20"/>
          <w:lang w:val="en-US"/>
        </w:rPr>
        <w:t>Leading the Way (integrated planning + smart grid + regional coordination)</w:t>
      </w:r>
      <w:r w:rsidR="00571506">
        <w:rPr>
          <w:rFonts w:ascii="Times New Roman" w:hAnsi="Times New Roman"/>
          <w:color w:val="000000" w:themeColor="text1"/>
          <w:sz w:val="20"/>
          <w:szCs w:val="20"/>
          <w:lang w:val="en-US"/>
        </w:rPr>
        <w:t>.</w:t>
      </w:r>
    </w:p>
    <w:p w14:paraId="58235388" w14:textId="77777777" w:rsidR="000457EA" w:rsidRDefault="000457EA" w:rsidP="000457EA">
      <w:pPr>
        <w:spacing w:after="0" w:line="240" w:lineRule="auto"/>
        <w:jc w:val="both"/>
        <w:rPr>
          <w:rFonts w:ascii="Times New Roman" w:hAnsi="Times New Roman"/>
          <w:color w:val="000000" w:themeColor="text1"/>
          <w:sz w:val="20"/>
          <w:szCs w:val="20"/>
          <w:lang w:val="en-US"/>
        </w:rPr>
      </w:pPr>
    </w:p>
    <w:p w14:paraId="28AAEDCF" w14:textId="77777777" w:rsidR="008813F9" w:rsidRPr="008813F9" w:rsidRDefault="008813F9" w:rsidP="002D0001">
      <w:pPr>
        <w:pStyle w:val="NormalnyWeb"/>
        <w:spacing w:before="0" w:beforeAutospacing="0" w:after="0" w:afterAutospacing="0"/>
        <w:jc w:val="center"/>
        <w:rPr>
          <w:rFonts w:ascii="Times New Roman" w:hAnsi="Times New Roman" w:cs="Times New Roman"/>
          <w:color w:val="000000" w:themeColor="text1"/>
          <w:sz w:val="20"/>
          <w:szCs w:val="20"/>
        </w:rPr>
      </w:pPr>
      <w:r w:rsidRPr="008813F9">
        <w:rPr>
          <w:rFonts w:ascii="Times New Roman" w:hAnsi="Times New Roman" w:cs="Times New Roman"/>
          <w:noProof/>
          <w:color w:val="000000" w:themeColor="text1"/>
          <w:sz w:val="20"/>
          <w:szCs w:val="20"/>
        </w:rPr>
        <w:drawing>
          <wp:inline distT="0" distB="0" distL="0" distR="0" wp14:anchorId="2E34D818" wp14:editId="79B97939">
            <wp:extent cx="4724400" cy="2181225"/>
            <wp:effectExtent l="0" t="0" r="0" b="9525"/>
            <wp:docPr id="7" name="Image 7" descr="Bar chart showing sensitivity analysis for No REEE, Max Electrification and Leading the Way by 2050 in Ch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Bar chart showing sensitivity analysis for No REEE, Max Electrification and Leading the Way by 2050 in China"/>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4583"/>
                    <a:stretch>
                      <a:fillRect/>
                    </a:stretch>
                  </pic:blipFill>
                  <pic:spPr bwMode="auto">
                    <a:xfrm>
                      <a:off x="0" y="0"/>
                      <a:ext cx="4724400" cy="2181225"/>
                    </a:xfrm>
                    <a:prstGeom prst="rect">
                      <a:avLst/>
                    </a:prstGeom>
                    <a:noFill/>
                    <a:ln>
                      <a:noFill/>
                    </a:ln>
                    <a:extLst>
                      <a:ext uri="{53640926-AAD7-44D8-BBD7-CCE9431645EC}">
                        <a14:shadowObscured xmlns:a14="http://schemas.microsoft.com/office/drawing/2010/main"/>
                      </a:ext>
                    </a:extLst>
                  </pic:spPr>
                </pic:pic>
              </a:graphicData>
            </a:graphic>
          </wp:inline>
        </w:drawing>
      </w:r>
    </w:p>
    <w:p w14:paraId="428FB403" w14:textId="77777777" w:rsidR="003C0960" w:rsidRPr="002D0001" w:rsidRDefault="003C0960" w:rsidP="003C0960">
      <w:pPr>
        <w:spacing w:after="0" w:line="240" w:lineRule="auto"/>
        <w:jc w:val="both"/>
        <w:rPr>
          <w:rFonts w:ascii="Times New Roman" w:hAnsi="Times New Roman"/>
          <w:color w:val="000000" w:themeColor="text1"/>
          <w:sz w:val="18"/>
          <w:szCs w:val="18"/>
          <w:lang w:val="en-US"/>
        </w:rPr>
      </w:pPr>
      <w:r w:rsidRPr="002D0001">
        <w:rPr>
          <w:rFonts w:ascii="Times New Roman" w:hAnsi="Times New Roman"/>
          <w:color w:val="000000" w:themeColor="text1"/>
          <w:sz w:val="18"/>
          <w:szCs w:val="18"/>
          <w:lang w:val="en-US"/>
        </w:rPr>
        <w:t>Figure 12. Sensitivity analysis for No REEE, Max Electrification and Leading the Way by 2050, source: own elaboration</w:t>
      </w:r>
    </w:p>
    <w:p w14:paraId="4C752472" w14:textId="77777777" w:rsidR="002D0001" w:rsidRDefault="002D0001" w:rsidP="008813F9">
      <w:pPr>
        <w:spacing w:after="0" w:line="240" w:lineRule="auto"/>
        <w:jc w:val="both"/>
        <w:rPr>
          <w:rFonts w:ascii="Times New Roman" w:hAnsi="Times New Roman"/>
          <w:color w:val="000000" w:themeColor="text1"/>
          <w:sz w:val="20"/>
          <w:szCs w:val="20"/>
          <w:lang w:val="en-US"/>
        </w:rPr>
      </w:pPr>
    </w:p>
    <w:p w14:paraId="4071ED19" w14:textId="165E5C72"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This dual-axis figure evaluates how electrification and renewable energy strategies affect industrial grid constraints:</w:t>
      </w:r>
    </w:p>
    <w:p w14:paraId="6DA1BC2F" w14:textId="77777777" w:rsidR="008813F9" w:rsidRPr="002D0001" w:rsidRDefault="008813F9">
      <w:pPr>
        <w:numPr>
          <w:ilvl w:val="0"/>
          <w:numId w:val="14"/>
        </w:numPr>
        <w:spacing w:after="0" w:line="240" w:lineRule="auto"/>
        <w:jc w:val="both"/>
        <w:rPr>
          <w:rFonts w:ascii="Times New Roman" w:hAnsi="Times New Roman"/>
          <w:color w:val="000000" w:themeColor="text1"/>
          <w:sz w:val="20"/>
          <w:szCs w:val="20"/>
          <w:lang w:val="en-US"/>
        </w:rPr>
      </w:pPr>
      <w:r w:rsidRPr="002D0001">
        <w:rPr>
          <w:rFonts w:ascii="Times New Roman" w:hAnsi="Times New Roman"/>
          <w:color w:val="000000" w:themeColor="text1"/>
          <w:sz w:val="20"/>
          <w:szCs w:val="20"/>
          <w:lang w:val="en-US"/>
        </w:rPr>
        <w:t>Under the No REEE scenario:</w:t>
      </w:r>
    </w:p>
    <w:p w14:paraId="70BD4AB0" w14:textId="77777777" w:rsidR="008813F9" w:rsidRPr="002D0001" w:rsidRDefault="008813F9">
      <w:pPr>
        <w:numPr>
          <w:ilvl w:val="1"/>
          <w:numId w:val="14"/>
        </w:numPr>
        <w:spacing w:after="0" w:line="240" w:lineRule="auto"/>
        <w:jc w:val="both"/>
        <w:rPr>
          <w:rFonts w:ascii="Times New Roman" w:hAnsi="Times New Roman"/>
          <w:color w:val="000000" w:themeColor="text1"/>
          <w:sz w:val="20"/>
          <w:szCs w:val="20"/>
          <w:lang w:val="en-US"/>
        </w:rPr>
      </w:pPr>
      <w:r w:rsidRPr="002D0001">
        <w:rPr>
          <w:rFonts w:ascii="Times New Roman" w:hAnsi="Times New Roman"/>
          <w:color w:val="000000" w:themeColor="text1"/>
          <w:sz w:val="20"/>
          <w:szCs w:val="20"/>
          <w:lang w:val="en-US"/>
        </w:rPr>
        <w:t>68% of industrial sites remain constrained.</w:t>
      </w:r>
    </w:p>
    <w:p w14:paraId="28E72645" w14:textId="77777777" w:rsidR="008813F9" w:rsidRPr="002D0001" w:rsidRDefault="008813F9">
      <w:pPr>
        <w:numPr>
          <w:ilvl w:val="1"/>
          <w:numId w:val="14"/>
        </w:numPr>
        <w:spacing w:after="0" w:line="240" w:lineRule="auto"/>
        <w:jc w:val="both"/>
        <w:rPr>
          <w:rFonts w:ascii="Times New Roman" w:hAnsi="Times New Roman"/>
          <w:color w:val="000000" w:themeColor="text1"/>
          <w:sz w:val="20"/>
          <w:szCs w:val="20"/>
          <w:lang w:val="en-US"/>
        </w:rPr>
      </w:pPr>
      <w:r w:rsidRPr="002D0001">
        <w:rPr>
          <w:rFonts w:ascii="Times New Roman" w:hAnsi="Times New Roman"/>
          <w:color w:val="000000" w:themeColor="text1"/>
          <w:sz w:val="20"/>
          <w:szCs w:val="20"/>
          <w:lang w:val="en-US"/>
        </w:rPr>
        <w:t>A massive 920 GW of additional capacity would be needed.</w:t>
      </w:r>
    </w:p>
    <w:p w14:paraId="46B3E0EF" w14:textId="77777777" w:rsidR="008813F9" w:rsidRPr="002D0001" w:rsidRDefault="008813F9">
      <w:pPr>
        <w:numPr>
          <w:ilvl w:val="0"/>
          <w:numId w:val="14"/>
        </w:numPr>
        <w:spacing w:after="0" w:line="240" w:lineRule="auto"/>
        <w:jc w:val="both"/>
        <w:rPr>
          <w:rFonts w:ascii="Times New Roman" w:hAnsi="Times New Roman"/>
          <w:color w:val="000000" w:themeColor="text1"/>
          <w:sz w:val="20"/>
          <w:szCs w:val="20"/>
          <w:lang w:val="en-US"/>
        </w:rPr>
      </w:pPr>
      <w:r w:rsidRPr="002D0001">
        <w:rPr>
          <w:rFonts w:ascii="Times New Roman" w:hAnsi="Times New Roman"/>
          <w:color w:val="000000" w:themeColor="text1"/>
          <w:sz w:val="20"/>
          <w:szCs w:val="20"/>
          <w:lang w:val="en-US"/>
        </w:rPr>
        <w:t>The Max Electrification scenario performs moderately better but still demands 750 GW of new capacity.</w:t>
      </w:r>
    </w:p>
    <w:p w14:paraId="7DC90FAE" w14:textId="77777777" w:rsidR="008813F9" w:rsidRPr="002D0001" w:rsidRDefault="008813F9">
      <w:pPr>
        <w:numPr>
          <w:ilvl w:val="0"/>
          <w:numId w:val="14"/>
        </w:numPr>
        <w:spacing w:after="0" w:line="240" w:lineRule="auto"/>
        <w:jc w:val="both"/>
        <w:rPr>
          <w:rFonts w:ascii="Times New Roman" w:hAnsi="Times New Roman"/>
          <w:color w:val="000000" w:themeColor="text1"/>
          <w:sz w:val="20"/>
          <w:szCs w:val="20"/>
          <w:lang w:val="en-US"/>
        </w:rPr>
      </w:pPr>
      <w:r w:rsidRPr="002D0001">
        <w:rPr>
          <w:rFonts w:ascii="Times New Roman" w:hAnsi="Times New Roman"/>
          <w:color w:val="000000" w:themeColor="text1"/>
          <w:sz w:val="20"/>
          <w:szCs w:val="20"/>
          <w:lang w:val="en-US"/>
        </w:rPr>
        <w:t>The Leading the Way scenario significantly reduces constraints (to 24%) and slashes unmet capacity to 480 GW, illustrating the transformational effect of smart grid deployment and integrated planning.</w:t>
      </w:r>
    </w:p>
    <w:p w14:paraId="256B84C4"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These results validate the argument by Jin et al. (2023) that decarbonization and grid expansion must be co-optimized, not sequenced.</w:t>
      </w:r>
    </w:p>
    <w:p w14:paraId="57C62F77" w14:textId="77777777" w:rsidR="002D0001" w:rsidRDefault="002D0001" w:rsidP="008813F9">
      <w:pPr>
        <w:spacing w:after="0" w:line="240" w:lineRule="auto"/>
        <w:jc w:val="both"/>
        <w:rPr>
          <w:rFonts w:ascii="Times New Roman" w:hAnsi="Times New Roman"/>
          <w:b/>
          <w:bCs/>
          <w:i/>
          <w:iCs/>
          <w:color w:val="000000" w:themeColor="text1"/>
          <w:sz w:val="20"/>
          <w:szCs w:val="20"/>
          <w:lang w:val="en-US"/>
        </w:rPr>
      </w:pPr>
    </w:p>
    <w:p w14:paraId="28D1251A" w14:textId="14132A43" w:rsidR="008813F9" w:rsidRPr="002D0001" w:rsidRDefault="002D0001" w:rsidP="008813F9">
      <w:pPr>
        <w:spacing w:after="0" w:line="240" w:lineRule="auto"/>
        <w:jc w:val="both"/>
        <w:rPr>
          <w:rFonts w:ascii="Times New Roman" w:hAnsi="Times New Roman"/>
          <w:i/>
          <w:iCs/>
          <w:color w:val="000000" w:themeColor="text1"/>
          <w:sz w:val="20"/>
          <w:szCs w:val="20"/>
          <w:lang w:val="en-US"/>
        </w:rPr>
      </w:pPr>
      <w:r w:rsidRPr="002D0001">
        <w:rPr>
          <w:rFonts w:ascii="Times New Roman" w:hAnsi="Times New Roman"/>
          <w:i/>
          <w:iCs/>
          <w:color w:val="000000" w:themeColor="text1"/>
          <w:sz w:val="20"/>
          <w:szCs w:val="20"/>
          <w:lang w:val="en-US"/>
        </w:rPr>
        <w:t>6</w:t>
      </w:r>
      <w:r w:rsidR="008813F9" w:rsidRPr="002D0001">
        <w:rPr>
          <w:rFonts w:ascii="Times New Roman" w:hAnsi="Times New Roman"/>
          <w:i/>
          <w:iCs/>
          <w:color w:val="000000" w:themeColor="text1"/>
          <w:sz w:val="20"/>
          <w:szCs w:val="20"/>
          <w:lang w:val="en-US"/>
        </w:rPr>
        <w:t>.7</w:t>
      </w:r>
      <w:r w:rsidRPr="002D0001">
        <w:rPr>
          <w:rFonts w:ascii="Times New Roman" w:hAnsi="Times New Roman"/>
          <w:i/>
          <w:iCs/>
          <w:color w:val="000000" w:themeColor="text1"/>
          <w:sz w:val="20"/>
          <w:szCs w:val="20"/>
          <w:lang w:val="en-US"/>
        </w:rPr>
        <w:t>.</w:t>
      </w:r>
      <w:r w:rsidR="008813F9" w:rsidRPr="002D0001">
        <w:rPr>
          <w:rFonts w:ascii="Times New Roman" w:hAnsi="Times New Roman"/>
          <w:i/>
          <w:iCs/>
          <w:color w:val="000000" w:themeColor="text1"/>
          <w:sz w:val="20"/>
          <w:szCs w:val="20"/>
          <w:lang w:val="en-US"/>
        </w:rPr>
        <w:t xml:space="preserve"> Policy </w:t>
      </w:r>
      <w:r w:rsidRPr="002D0001">
        <w:rPr>
          <w:rFonts w:ascii="Times New Roman" w:hAnsi="Times New Roman"/>
          <w:i/>
          <w:iCs/>
          <w:color w:val="000000" w:themeColor="text1"/>
          <w:sz w:val="20"/>
          <w:szCs w:val="20"/>
          <w:lang w:val="en-US"/>
        </w:rPr>
        <w:t>r</w:t>
      </w:r>
      <w:r w:rsidR="008813F9" w:rsidRPr="002D0001">
        <w:rPr>
          <w:rFonts w:ascii="Times New Roman" w:hAnsi="Times New Roman"/>
          <w:i/>
          <w:iCs/>
          <w:color w:val="000000" w:themeColor="text1"/>
          <w:sz w:val="20"/>
          <w:szCs w:val="20"/>
          <w:lang w:val="en-US"/>
        </w:rPr>
        <w:t>ecommendations</w:t>
      </w:r>
    </w:p>
    <w:p w14:paraId="7A891E60" w14:textId="77777777" w:rsidR="008813F9" w:rsidRPr="000457EA" w:rsidRDefault="008813F9" w:rsidP="008813F9">
      <w:pPr>
        <w:spacing w:after="0" w:line="240" w:lineRule="auto"/>
        <w:jc w:val="both"/>
        <w:rPr>
          <w:rFonts w:ascii="Times New Roman" w:hAnsi="Times New Roman"/>
          <w:color w:val="000000" w:themeColor="text1"/>
          <w:sz w:val="20"/>
          <w:szCs w:val="20"/>
          <w:lang w:val="en-US"/>
        </w:rPr>
      </w:pPr>
      <w:r w:rsidRPr="000457EA">
        <w:rPr>
          <w:rFonts w:ascii="Times New Roman" w:hAnsi="Times New Roman"/>
          <w:color w:val="000000" w:themeColor="text1"/>
          <w:sz w:val="20"/>
          <w:szCs w:val="20"/>
          <w:lang w:val="en-US"/>
        </w:rPr>
        <w:t>Based on these findings, we recommend:</w:t>
      </w:r>
    </w:p>
    <w:p w14:paraId="795F3119" w14:textId="502E9DDA" w:rsidR="008813F9" w:rsidRPr="000457EA" w:rsidRDefault="008813F9" w:rsidP="008813F9">
      <w:pPr>
        <w:spacing w:after="0" w:line="240" w:lineRule="auto"/>
        <w:jc w:val="both"/>
        <w:rPr>
          <w:rFonts w:ascii="Times New Roman" w:hAnsi="Times New Roman"/>
          <w:b/>
          <w:bCs/>
          <w:color w:val="000000" w:themeColor="text1"/>
          <w:sz w:val="20"/>
          <w:szCs w:val="20"/>
          <w:lang w:val="en-US"/>
        </w:rPr>
      </w:pPr>
      <w:r w:rsidRPr="000457EA">
        <w:rPr>
          <w:rFonts w:ascii="Times New Roman" w:hAnsi="Times New Roman"/>
          <w:b/>
          <w:bCs/>
          <w:color w:val="000000" w:themeColor="text1"/>
          <w:sz w:val="20"/>
          <w:szCs w:val="20"/>
          <w:lang w:val="en-US"/>
        </w:rPr>
        <w:t>Grid Planning and Infrastructure Alignment</w:t>
      </w:r>
      <w:r w:rsidR="002D0001">
        <w:rPr>
          <w:rFonts w:ascii="Times New Roman" w:hAnsi="Times New Roman"/>
          <w:b/>
          <w:bCs/>
          <w:color w:val="000000" w:themeColor="text1"/>
          <w:sz w:val="20"/>
          <w:szCs w:val="20"/>
          <w:lang w:val="en-US"/>
        </w:rPr>
        <w:t>:</w:t>
      </w:r>
    </w:p>
    <w:p w14:paraId="6B5CD81D" w14:textId="77777777" w:rsidR="002D0001" w:rsidRDefault="008813F9">
      <w:pPr>
        <w:pStyle w:val="Akapitzlist"/>
        <w:numPr>
          <w:ilvl w:val="0"/>
          <w:numId w:val="31"/>
        </w:numPr>
        <w:spacing w:after="0" w:line="240" w:lineRule="auto"/>
        <w:jc w:val="both"/>
        <w:rPr>
          <w:rFonts w:ascii="Times New Roman" w:hAnsi="Times New Roman"/>
          <w:color w:val="000000" w:themeColor="text1"/>
          <w:sz w:val="20"/>
          <w:szCs w:val="20"/>
          <w:lang w:val="en-US"/>
        </w:rPr>
      </w:pPr>
      <w:r w:rsidRPr="002D0001">
        <w:rPr>
          <w:rFonts w:ascii="Times New Roman" w:hAnsi="Times New Roman"/>
          <w:color w:val="000000" w:themeColor="text1"/>
          <w:sz w:val="20"/>
          <w:szCs w:val="20"/>
          <w:lang w:val="en-US"/>
        </w:rPr>
        <w:t>Mandate spatial grid readiness assessments in industrial zoning</w:t>
      </w:r>
      <w:r w:rsidR="002D0001">
        <w:rPr>
          <w:rFonts w:ascii="Times New Roman" w:hAnsi="Times New Roman"/>
          <w:color w:val="000000" w:themeColor="text1"/>
          <w:sz w:val="20"/>
          <w:szCs w:val="20"/>
          <w:lang w:val="en-US"/>
        </w:rPr>
        <w:t>.</w:t>
      </w:r>
    </w:p>
    <w:p w14:paraId="200E8B42" w14:textId="77777777" w:rsidR="002D0001" w:rsidRDefault="002D0001">
      <w:pPr>
        <w:pStyle w:val="Akapitzlist"/>
        <w:numPr>
          <w:ilvl w:val="0"/>
          <w:numId w:val="31"/>
        </w:numPr>
        <w:spacing w:after="0" w:line="240" w:lineRule="auto"/>
        <w:jc w:val="both"/>
        <w:rPr>
          <w:rFonts w:ascii="Times New Roman" w:hAnsi="Times New Roman"/>
          <w:color w:val="000000" w:themeColor="text1"/>
          <w:sz w:val="20"/>
          <w:szCs w:val="20"/>
          <w:lang w:val="en-US"/>
        </w:rPr>
      </w:pPr>
      <w:r>
        <w:rPr>
          <w:rFonts w:ascii="Times New Roman" w:hAnsi="Times New Roman"/>
          <w:color w:val="000000" w:themeColor="text1"/>
          <w:sz w:val="20"/>
          <w:szCs w:val="20"/>
          <w:lang w:val="en-US"/>
        </w:rPr>
        <w:t>C</w:t>
      </w:r>
      <w:r w:rsidR="008813F9" w:rsidRPr="002D0001">
        <w:rPr>
          <w:rFonts w:ascii="Times New Roman" w:hAnsi="Times New Roman"/>
          <w:color w:val="000000" w:themeColor="text1"/>
          <w:sz w:val="20"/>
          <w:szCs w:val="20"/>
          <w:lang w:val="en-US"/>
        </w:rPr>
        <w:t>onduct regional capacity auctions prioritizing substation upgrades in constrained zones</w:t>
      </w:r>
      <w:r>
        <w:rPr>
          <w:rFonts w:ascii="Times New Roman" w:hAnsi="Times New Roman"/>
          <w:color w:val="000000" w:themeColor="text1"/>
          <w:sz w:val="20"/>
          <w:szCs w:val="20"/>
          <w:lang w:val="en-US"/>
        </w:rPr>
        <w:t>.</w:t>
      </w:r>
    </w:p>
    <w:p w14:paraId="53EB7F65" w14:textId="11C86746" w:rsidR="008813F9" w:rsidRPr="002D0001" w:rsidRDefault="002D0001">
      <w:pPr>
        <w:pStyle w:val="Akapitzlist"/>
        <w:numPr>
          <w:ilvl w:val="0"/>
          <w:numId w:val="31"/>
        </w:numPr>
        <w:spacing w:after="0" w:line="240" w:lineRule="auto"/>
        <w:jc w:val="both"/>
        <w:rPr>
          <w:rFonts w:ascii="Times New Roman" w:hAnsi="Times New Roman"/>
          <w:color w:val="000000" w:themeColor="text1"/>
          <w:sz w:val="20"/>
          <w:szCs w:val="20"/>
          <w:lang w:val="en-US"/>
        </w:rPr>
      </w:pPr>
      <w:r>
        <w:rPr>
          <w:rFonts w:ascii="Times New Roman" w:hAnsi="Times New Roman"/>
          <w:color w:val="000000" w:themeColor="text1"/>
          <w:sz w:val="20"/>
          <w:szCs w:val="20"/>
          <w:lang w:val="en-US"/>
        </w:rPr>
        <w:t>A</w:t>
      </w:r>
      <w:r w:rsidR="008813F9" w:rsidRPr="002D0001">
        <w:rPr>
          <w:rFonts w:ascii="Times New Roman" w:hAnsi="Times New Roman"/>
          <w:color w:val="000000" w:themeColor="text1"/>
          <w:sz w:val="20"/>
          <w:szCs w:val="20"/>
          <w:lang w:val="en-US"/>
        </w:rPr>
        <w:t xml:space="preserve">lign industrial electrification targets with SDG benchmarks and embed sustainability metrics in infrastructure planning using the </w:t>
      </w:r>
      <w:r w:rsidR="008813F9" w:rsidRPr="002D0001">
        <w:rPr>
          <w:rFonts w:ascii="Times New Roman" w:hAnsi="Times New Roman"/>
          <w:i/>
          <w:iCs/>
          <w:color w:val="000000" w:themeColor="text1"/>
          <w:sz w:val="20"/>
          <w:szCs w:val="20"/>
          <w:lang w:val="en-US"/>
        </w:rPr>
        <w:t>ecological civilization</w:t>
      </w:r>
      <w:r w:rsidR="008813F9" w:rsidRPr="002D0001">
        <w:rPr>
          <w:rFonts w:ascii="Times New Roman" w:hAnsi="Times New Roman"/>
          <w:color w:val="000000" w:themeColor="text1"/>
          <w:sz w:val="20"/>
          <w:szCs w:val="20"/>
          <w:lang w:val="en-US"/>
        </w:rPr>
        <w:t xml:space="preserve"> lens adopted in national strategies</w:t>
      </w:r>
      <w:r>
        <w:rPr>
          <w:rFonts w:ascii="Times New Roman" w:hAnsi="Times New Roman"/>
          <w:color w:val="000000" w:themeColor="text1"/>
          <w:sz w:val="20"/>
          <w:szCs w:val="20"/>
          <w:lang w:val="en-US"/>
        </w:rPr>
        <w:t>.</w:t>
      </w:r>
    </w:p>
    <w:p w14:paraId="0C833484" w14:textId="276AA198" w:rsidR="008813F9" w:rsidRPr="000457EA" w:rsidRDefault="008813F9" w:rsidP="008813F9">
      <w:pPr>
        <w:spacing w:after="0" w:line="240" w:lineRule="auto"/>
        <w:jc w:val="both"/>
        <w:rPr>
          <w:rFonts w:ascii="Times New Roman" w:hAnsi="Times New Roman"/>
          <w:b/>
          <w:bCs/>
          <w:color w:val="000000" w:themeColor="text1"/>
          <w:sz w:val="20"/>
          <w:szCs w:val="20"/>
          <w:lang w:val="en-US"/>
        </w:rPr>
      </w:pPr>
      <w:r w:rsidRPr="000457EA">
        <w:rPr>
          <w:rFonts w:ascii="Times New Roman" w:hAnsi="Times New Roman"/>
          <w:b/>
          <w:bCs/>
          <w:color w:val="000000" w:themeColor="text1"/>
          <w:sz w:val="20"/>
          <w:szCs w:val="20"/>
          <w:lang w:val="en-US"/>
        </w:rPr>
        <w:t>Financing and Incentives</w:t>
      </w:r>
      <w:r w:rsidR="002D0001">
        <w:rPr>
          <w:rFonts w:ascii="Times New Roman" w:hAnsi="Times New Roman"/>
          <w:b/>
          <w:bCs/>
          <w:color w:val="000000" w:themeColor="text1"/>
          <w:sz w:val="20"/>
          <w:szCs w:val="20"/>
          <w:lang w:val="en-US"/>
        </w:rPr>
        <w:t>:</w:t>
      </w:r>
    </w:p>
    <w:p w14:paraId="098A7F57" w14:textId="77777777" w:rsidR="002D0001" w:rsidRDefault="008813F9">
      <w:pPr>
        <w:pStyle w:val="Akapitzlist"/>
        <w:numPr>
          <w:ilvl w:val="0"/>
          <w:numId w:val="32"/>
        </w:numPr>
        <w:spacing w:after="0" w:line="240" w:lineRule="auto"/>
        <w:jc w:val="both"/>
        <w:rPr>
          <w:rFonts w:ascii="Times New Roman" w:hAnsi="Times New Roman"/>
          <w:color w:val="000000" w:themeColor="text1"/>
          <w:sz w:val="20"/>
          <w:szCs w:val="20"/>
          <w:lang w:val="en-US"/>
        </w:rPr>
      </w:pPr>
      <w:r w:rsidRPr="002D0001">
        <w:rPr>
          <w:rFonts w:ascii="Times New Roman" w:hAnsi="Times New Roman"/>
          <w:color w:val="000000" w:themeColor="text1"/>
          <w:sz w:val="20"/>
          <w:szCs w:val="20"/>
          <w:lang w:val="en-US"/>
        </w:rPr>
        <w:t>Provide sector-specific electrification grants tied to network expansion schedules</w:t>
      </w:r>
      <w:r w:rsidR="002D0001">
        <w:rPr>
          <w:rFonts w:ascii="Times New Roman" w:hAnsi="Times New Roman"/>
          <w:color w:val="000000" w:themeColor="text1"/>
          <w:sz w:val="20"/>
          <w:szCs w:val="20"/>
          <w:lang w:val="en-US"/>
        </w:rPr>
        <w:t>.</w:t>
      </w:r>
    </w:p>
    <w:p w14:paraId="208251DE" w14:textId="634D825D" w:rsidR="008813F9" w:rsidRPr="002D0001" w:rsidRDefault="002D0001">
      <w:pPr>
        <w:pStyle w:val="Akapitzlist"/>
        <w:numPr>
          <w:ilvl w:val="0"/>
          <w:numId w:val="32"/>
        </w:numPr>
        <w:spacing w:after="0" w:line="240" w:lineRule="auto"/>
        <w:jc w:val="both"/>
        <w:rPr>
          <w:rFonts w:ascii="Times New Roman" w:hAnsi="Times New Roman"/>
          <w:color w:val="000000" w:themeColor="text1"/>
          <w:sz w:val="20"/>
          <w:szCs w:val="20"/>
          <w:lang w:val="en-US"/>
        </w:rPr>
      </w:pPr>
      <w:r>
        <w:rPr>
          <w:rFonts w:ascii="Times New Roman" w:hAnsi="Times New Roman"/>
          <w:color w:val="000000" w:themeColor="text1"/>
          <w:sz w:val="20"/>
          <w:szCs w:val="20"/>
          <w:lang w:val="en-US"/>
        </w:rPr>
        <w:t>O</w:t>
      </w:r>
      <w:r w:rsidR="008813F9" w:rsidRPr="002D0001">
        <w:rPr>
          <w:rFonts w:ascii="Times New Roman" w:hAnsi="Times New Roman"/>
          <w:color w:val="000000" w:themeColor="text1"/>
          <w:sz w:val="20"/>
          <w:szCs w:val="20"/>
          <w:lang w:val="en-US"/>
        </w:rPr>
        <w:t>ffer incentives for digital grid investments, especially in remote areas</w:t>
      </w:r>
      <w:r>
        <w:rPr>
          <w:rFonts w:ascii="Times New Roman" w:hAnsi="Times New Roman"/>
          <w:color w:val="000000" w:themeColor="text1"/>
          <w:sz w:val="20"/>
          <w:szCs w:val="20"/>
          <w:lang w:val="en-US"/>
        </w:rPr>
        <w:t>.</w:t>
      </w:r>
    </w:p>
    <w:p w14:paraId="428B880A" w14:textId="2F8F1EC0" w:rsidR="008813F9" w:rsidRPr="000457EA" w:rsidRDefault="008813F9" w:rsidP="008813F9">
      <w:pPr>
        <w:spacing w:after="0" w:line="240" w:lineRule="auto"/>
        <w:jc w:val="both"/>
        <w:rPr>
          <w:rFonts w:ascii="Times New Roman" w:hAnsi="Times New Roman"/>
          <w:b/>
          <w:bCs/>
          <w:color w:val="000000" w:themeColor="text1"/>
          <w:sz w:val="20"/>
          <w:szCs w:val="20"/>
          <w:lang w:val="en-US"/>
        </w:rPr>
      </w:pPr>
      <w:r w:rsidRPr="000457EA">
        <w:rPr>
          <w:rFonts w:ascii="Times New Roman" w:hAnsi="Times New Roman"/>
          <w:b/>
          <w:bCs/>
          <w:color w:val="000000" w:themeColor="text1"/>
          <w:sz w:val="20"/>
          <w:szCs w:val="20"/>
          <w:lang w:val="en-US"/>
        </w:rPr>
        <w:t>Institutional Coordination and SDG Integration</w:t>
      </w:r>
      <w:r w:rsidR="002D0001">
        <w:rPr>
          <w:rFonts w:ascii="Times New Roman" w:hAnsi="Times New Roman"/>
          <w:b/>
          <w:bCs/>
          <w:color w:val="000000" w:themeColor="text1"/>
          <w:sz w:val="20"/>
          <w:szCs w:val="20"/>
          <w:lang w:val="en-US"/>
        </w:rPr>
        <w:t>:</w:t>
      </w:r>
    </w:p>
    <w:p w14:paraId="603BB888" w14:textId="77777777" w:rsidR="002D0001" w:rsidRDefault="008813F9">
      <w:pPr>
        <w:pStyle w:val="Akapitzlist"/>
        <w:numPr>
          <w:ilvl w:val="0"/>
          <w:numId w:val="33"/>
        </w:numPr>
        <w:spacing w:after="0" w:line="240" w:lineRule="auto"/>
        <w:jc w:val="both"/>
        <w:rPr>
          <w:rFonts w:ascii="Times New Roman" w:hAnsi="Times New Roman"/>
          <w:color w:val="000000" w:themeColor="text1"/>
          <w:sz w:val="20"/>
          <w:szCs w:val="20"/>
          <w:lang w:val="en-US"/>
        </w:rPr>
      </w:pPr>
      <w:r w:rsidRPr="002D0001">
        <w:rPr>
          <w:rFonts w:ascii="Times New Roman" w:hAnsi="Times New Roman"/>
          <w:color w:val="000000" w:themeColor="text1"/>
          <w:sz w:val="20"/>
          <w:szCs w:val="20"/>
          <w:lang w:val="en-US"/>
        </w:rPr>
        <w:t>Strengthen alignment between NEA, MIIT, and SGCC on electrification timelines</w:t>
      </w:r>
      <w:r w:rsidR="002D0001">
        <w:rPr>
          <w:rFonts w:ascii="Times New Roman" w:hAnsi="Times New Roman"/>
          <w:color w:val="000000" w:themeColor="text1"/>
          <w:sz w:val="20"/>
          <w:szCs w:val="20"/>
          <w:lang w:val="en-US"/>
        </w:rPr>
        <w:t>.</w:t>
      </w:r>
    </w:p>
    <w:p w14:paraId="7DEED207" w14:textId="187D313C" w:rsidR="008813F9" w:rsidRPr="002D0001" w:rsidRDefault="002D0001">
      <w:pPr>
        <w:pStyle w:val="Akapitzlist"/>
        <w:numPr>
          <w:ilvl w:val="0"/>
          <w:numId w:val="33"/>
        </w:numPr>
        <w:spacing w:after="0" w:line="240" w:lineRule="auto"/>
        <w:jc w:val="both"/>
        <w:rPr>
          <w:rFonts w:ascii="Times New Roman" w:hAnsi="Times New Roman"/>
          <w:color w:val="000000" w:themeColor="text1"/>
          <w:sz w:val="20"/>
          <w:szCs w:val="20"/>
          <w:lang w:val="en-US"/>
        </w:rPr>
      </w:pPr>
      <w:r>
        <w:rPr>
          <w:rFonts w:ascii="Times New Roman" w:hAnsi="Times New Roman"/>
          <w:color w:val="000000" w:themeColor="text1"/>
          <w:sz w:val="20"/>
          <w:szCs w:val="20"/>
          <w:lang w:val="en-US"/>
        </w:rPr>
        <w:lastRenderedPageBreak/>
        <w:t>E</w:t>
      </w:r>
      <w:r w:rsidR="008813F9" w:rsidRPr="002D0001">
        <w:rPr>
          <w:rFonts w:ascii="Times New Roman" w:hAnsi="Times New Roman"/>
          <w:color w:val="000000" w:themeColor="text1"/>
          <w:sz w:val="20"/>
          <w:szCs w:val="20"/>
          <w:lang w:val="en-US"/>
        </w:rPr>
        <w:t>nsure all regional electrification and infrastructure plans are evaluated through an SDG</w:t>
      </w:r>
      <w:r>
        <w:rPr>
          <w:rFonts w:ascii="Times New Roman" w:hAnsi="Times New Roman"/>
          <w:color w:val="000000" w:themeColor="text1"/>
          <w:sz w:val="20"/>
          <w:szCs w:val="20"/>
          <w:lang w:val="en-US"/>
        </w:rPr>
        <w:t>s</w:t>
      </w:r>
      <w:r w:rsidR="008813F9" w:rsidRPr="002D0001">
        <w:rPr>
          <w:rFonts w:ascii="Times New Roman" w:hAnsi="Times New Roman"/>
          <w:color w:val="000000" w:themeColor="text1"/>
          <w:sz w:val="20"/>
          <w:szCs w:val="20"/>
          <w:lang w:val="en-US"/>
        </w:rPr>
        <w:t xml:space="preserve"> lens, particularly SDG 7, SDG 9, and SDG 13, to reinforce alignment with China’s ecological civilization vision and global development goals</w:t>
      </w:r>
      <w:r>
        <w:rPr>
          <w:rFonts w:ascii="Times New Roman" w:hAnsi="Times New Roman"/>
          <w:color w:val="000000" w:themeColor="text1"/>
          <w:sz w:val="20"/>
          <w:szCs w:val="20"/>
          <w:lang w:val="en-US"/>
        </w:rPr>
        <w:t>.</w:t>
      </w:r>
    </w:p>
    <w:p w14:paraId="4DFC540C"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These targeted interventions are essential to unlock the full emissions reduction potential of industrial electrification, mitigate infrastructure-induced decarbonization delays, and ensure that the energy transition contributes meaningfully to national and global sustainability objectives.</w:t>
      </w:r>
    </w:p>
    <w:p w14:paraId="643133CA" w14:textId="77777777" w:rsid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To reinforce the strategic relevance of these recommendations, Table 2 maps each core research output to the relevant Sustainable Development Goals (SDGs). This alignment illustrates how industrial electrification, grid investment, and institutional coordination not only serve China’s decarbonization agenda but also contribute directly to global sustainability benchmarks under the 2030 Agenda.</w:t>
      </w:r>
    </w:p>
    <w:p w14:paraId="60697897" w14:textId="77777777" w:rsidR="002D0001" w:rsidRPr="008813F9" w:rsidRDefault="002D0001" w:rsidP="008813F9">
      <w:pPr>
        <w:spacing w:after="0" w:line="240" w:lineRule="auto"/>
        <w:jc w:val="both"/>
        <w:rPr>
          <w:rFonts w:ascii="Times New Roman" w:hAnsi="Times New Roman"/>
          <w:color w:val="000000" w:themeColor="text1"/>
          <w:sz w:val="20"/>
          <w:szCs w:val="20"/>
          <w:lang w:val="en-US"/>
        </w:rPr>
      </w:pPr>
    </w:p>
    <w:p w14:paraId="4E9CA7A5" w14:textId="10753557" w:rsidR="008813F9" w:rsidRDefault="008813F9" w:rsidP="008813F9">
      <w:pPr>
        <w:spacing w:after="0" w:line="240" w:lineRule="auto"/>
        <w:jc w:val="both"/>
        <w:rPr>
          <w:rFonts w:ascii="Times New Roman" w:hAnsi="Times New Roman"/>
          <w:color w:val="000000" w:themeColor="text1"/>
          <w:sz w:val="18"/>
          <w:szCs w:val="18"/>
          <w:lang w:val="en-US"/>
        </w:rPr>
      </w:pPr>
      <w:r w:rsidRPr="002D0001">
        <w:rPr>
          <w:rFonts w:ascii="Times New Roman" w:hAnsi="Times New Roman"/>
          <w:color w:val="000000" w:themeColor="text1"/>
          <w:sz w:val="18"/>
          <w:szCs w:val="18"/>
          <w:lang w:val="en-US"/>
        </w:rPr>
        <w:t xml:space="preserve">Table 2. Alignment of </w:t>
      </w:r>
      <w:r w:rsidR="002D0001">
        <w:rPr>
          <w:rFonts w:ascii="Times New Roman" w:hAnsi="Times New Roman"/>
          <w:color w:val="000000" w:themeColor="text1"/>
          <w:sz w:val="18"/>
          <w:szCs w:val="18"/>
          <w:lang w:val="en-US"/>
        </w:rPr>
        <w:t>r</w:t>
      </w:r>
      <w:r w:rsidRPr="002D0001">
        <w:rPr>
          <w:rFonts w:ascii="Times New Roman" w:hAnsi="Times New Roman"/>
          <w:color w:val="000000" w:themeColor="text1"/>
          <w:sz w:val="18"/>
          <w:szCs w:val="18"/>
          <w:lang w:val="en-US"/>
        </w:rPr>
        <w:t xml:space="preserve">esearch </w:t>
      </w:r>
      <w:r w:rsidR="002D0001">
        <w:rPr>
          <w:rFonts w:ascii="Times New Roman" w:hAnsi="Times New Roman"/>
          <w:color w:val="000000" w:themeColor="text1"/>
          <w:sz w:val="18"/>
          <w:szCs w:val="18"/>
          <w:lang w:val="en-US"/>
        </w:rPr>
        <w:t>f</w:t>
      </w:r>
      <w:r w:rsidRPr="002D0001">
        <w:rPr>
          <w:rFonts w:ascii="Times New Roman" w:hAnsi="Times New Roman"/>
          <w:color w:val="000000" w:themeColor="text1"/>
          <w:sz w:val="18"/>
          <w:szCs w:val="18"/>
          <w:lang w:val="en-US"/>
        </w:rPr>
        <w:t>indings with the Sustainable Development Goals (SDGs)</w:t>
      </w:r>
    </w:p>
    <w:tbl>
      <w:tblPr>
        <w:tblStyle w:val="Tabela-Siatka"/>
        <w:tblW w:w="9060" w:type="dxa"/>
        <w:tblLook w:val="04A0" w:firstRow="1" w:lastRow="0" w:firstColumn="1" w:lastColumn="0" w:noHBand="0" w:noVBand="1"/>
      </w:tblPr>
      <w:tblGrid>
        <w:gridCol w:w="4530"/>
        <w:gridCol w:w="4530"/>
      </w:tblGrid>
      <w:tr w:rsidR="002D0001" w14:paraId="438756F3" w14:textId="77777777" w:rsidTr="002D0001">
        <w:tc>
          <w:tcPr>
            <w:tcW w:w="4530" w:type="dxa"/>
            <w:vAlign w:val="center"/>
          </w:tcPr>
          <w:p w14:paraId="5DA90D45" w14:textId="667A100F" w:rsidR="002D0001" w:rsidRDefault="002D0001" w:rsidP="002D0001">
            <w:pPr>
              <w:spacing w:after="0" w:line="240" w:lineRule="auto"/>
              <w:jc w:val="both"/>
              <w:rPr>
                <w:rFonts w:ascii="Times New Roman" w:hAnsi="Times New Roman"/>
                <w:color w:val="000000" w:themeColor="text1"/>
                <w:sz w:val="18"/>
                <w:szCs w:val="18"/>
                <w:lang w:val="en-US"/>
              </w:rPr>
            </w:pPr>
            <w:proofErr w:type="spellStart"/>
            <w:r w:rsidRPr="008813F9">
              <w:rPr>
                <w:rFonts w:ascii="Times New Roman" w:hAnsi="Times New Roman"/>
                <w:b/>
                <w:bCs/>
                <w:color w:val="000000" w:themeColor="text1"/>
                <w:sz w:val="20"/>
                <w:szCs w:val="20"/>
              </w:rPr>
              <w:t>Research</w:t>
            </w:r>
            <w:proofErr w:type="spellEnd"/>
            <w:r w:rsidRPr="008813F9">
              <w:rPr>
                <w:rFonts w:ascii="Times New Roman" w:hAnsi="Times New Roman"/>
                <w:b/>
                <w:bCs/>
                <w:color w:val="000000" w:themeColor="text1"/>
                <w:sz w:val="20"/>
                <w:szCs w:val="20"/>
              </w:rPr>
              <w:t xml:space="preserve"> </w:t>
            </w:r>
            <w:proofErr w:type="spellStart"/>
            <w:r w:rsidRPr="008813F9">
              <w:rPr>
                <w:rFonts w:ascii="Times New Roman" w:hAnsi="Times New Roman"/>
                <w:b/>
                <w:bCs/>
                <w:color w:val="000000" w:themeColor="text1"/>
                <w:sz w:val="20"/>
                <w:szCs w:val="20"/>
              </w:rPr>
              <w:t>Output</w:t>
            </w:r>
            <w:proofErr w:type="spellEnd"/>
          </w:p>
        </w:tc>
        <w:tc>
          <w:tcPr>
            <w:tcW w:w="4530" w:type="dxa"/>
            <w:vAlign w:val="center"/>
          </w:tcPr>
          <w:p w14:paraId="396EE689" w14:textId="73C6F905" w:rsidR="002D0001" w:rsidRDefault="002D0001" w:rsidP="002D0001">
            <w:pPr>
              <w:spacing w:after="0" w:line="240" w:lineRule="auto"/>
              <w:jc w:val="both"/>
              <w:rPr>
                <w:rFonts w:ascii="Times New Roman" w:hAnsi="Times New Roman"/>
                <w:color w:val="000000" w:themeColor="text1"/>
                <w:sz w:val="18"/>
                <w:szCs w:val="18"/>
                <w:lang w:val="en-US"/>
              </w:rPr>
            </w:pPr>
            <w:r w:rsidRPr="008813F9">
              <w:rPr>
                <w:rFonts w:ascii="Times New Roman" w:hAnsi="Times New Roman"/>
                <w:b/>
                <w:bCs/>
                <w:color w:val="000000" w:themeColor="text1"/>
                <w:sz w:val="20"/>
                <w:szCs w:val="20"/>
              </w:rPr>
              <w:t>SDG Link</w:t>
            </w:r>
          </w:p>
        </w:tc>
      </w:tr>
      <w:tr w:rsidR="002D0001" w:rsidRPr="00235445" w14:paraId="20E54AF3" w14:textId="77777777" w:rsidTr="002D0001">
        <w:tc>
          <w:tcPr>
            <w:tcW w:w="4530" w:type="dxa"/>
            <w:vAlign w:val="center"/>
          </w:tcPr>
          <w:p w14:paraId="7A51DEF2" w14:textId="334C3266" w:rsidR="002D0001" w:rsidRDefault="002D0001" w:rsidP="002D0001">
            <w:pPr>
              <w:spacing w:after="0" w:line="240" w:lineRule="auto"/>
              <w:jc w:val="both"/>
              <w:rPr>
                <w:rFonts w:ascii="Times New Roman" w:hAnsi="Times New Roman"/>
                <w:color w:val="000000" w:themeColor="text1"/>
                <w:sz w:val="18"/>
                <w:szCs w:val="18"/>
                <w:lang w:val="en-US"/>
              </w:rPr>
            </w:pPr>
            <w:proofErr w:type="spellStart"/>
            <w:r w:rsidRPr="008813F9">
              <w:rPr>
                <w:rFonts w:ascii="Times New Roman" w:hAnsi="Times New Roman"/>
                <w:color w:val="000000" w:themeColor="text1"/>
                <w:sz w:val="20"/>
                <w:szCs w:val="20"/>
              </w:rPr>
              <w:t>Electrification</w:t>
            </w:r>
            <w:proofErr w:type="spellEnd"/>
            <w:r w:rsidRPr="008813F9">
              <w:rPr>
                <w:rFonts w:ascii="Times New Roman" w:hAnsi="Times New Roman"/>
                <w:color w:val="000000" w:themeColor="text1"/>
                <w:sz w:val="20"/>
                <w:szCs w:val="20"/>
              </w:rPr>
              <w:t xml:space="preserve"> of </w:t>
            </w:r>
            <w:proofErr w:type="spellStart"/>
            <w:r w:rsidRPr="008813F9">
              <w:rPr>
                <w:rFonts w:ascii="Times New Roman" w:hAnsi="Times New Roman"/>
                <w:color w:val="000000" w:themeColor="text1"/>
                <w:sz w:val="20"/>
                <w:szCs w:val="20"/>
              </w:rPr>
              <w:t>Industry</w:t>
            </w:r>
            <w:proofErr w:type="spellEnd"/>
          </w:p>
        </w:tc>
        <w:tc>
          <w:tcPr>
            <w:tcW w:w="4530" w:type="dxa"/>
            <w:vAlign w:val="center"/>
          </w:tcPr>
          <w:p w14:paraId="31E2F402" w14:textId="0D363705" w:rsidR="002D0001" w:rsidRDefault="002D0001" w:rsidP="002D0001">
            <w:pPr>
              <w:spacing w:after="0" w:line="240" w:lineRule="auto"/>
              <w:jc w:val="both"/>
              <w:rPr>
                <w:rFonts w:ascii="Times New Roman" w:hAnsi="Times New Roman"/>
                <w:color w:val="000000" w:themeColor="text1"/>
                <w:sz w:val="18"/>
                <w:szCs w:val="18"/>
                <w:lang w:val="en-US"/>
              </w:rPr>
            </w:pPr>
            <w:r w:rsidRPr="008813F9">
              <w:rPr>
                <w:rFonts w:ascii="Times New Roman" w:hAnsi="Times New Roman"/>
                <w:color w:val="000000" w:themeColor="text1"/>
                <w:sz w:val="20"/>
                <w:szCs w:val="20"/>
                <w:lang w:val="en-US"/>
              </w:rPr>
              <w:t>SDG 7: Affordable and Clean Energy</w:t>
            </w:r>
          </w:p>
        </w:tc>
      </w:tr>
      <w:tr w:rsidR="002D0001" w14:paraId="106AE3F5" w14:textId="77777777" w:rsidTr="002D0001">
        <w:tc>
          <w:tcPr>
            <w:tcW w:w="4530" w:type="dxa"/>
            <w:vAlign w:val="center"/>
          </w:tcPr>
          <w:p w14:paraId="2689FDDE" w14:textId="73E964A0" w:rsidR="002D0001" w:rsidRDefault="002D0001" w:rsidP="002D0001">
            <w:pPr>
              <w:spacing w:after="0" w:line="240" w:lineRule="auto"/>
              <w:jc w:val="both"/>
              <w:rPr>
                <w:rFonts w:ascii="Times New Roman" w:hAnsi="Times New Roman"/>
                <w:color w:val="000000" w:themeColor="text1"/>
                <w:sz w:val="18"/>
                <w:szCs w:val="18"/>
                <w:lang w:val="en-US"/>
              </w:rPr>
            </w:pPr>
            <w:r w:rsidRPr="008813F9">
              <w:rPr>
                <w:rFonts w:ascii="Times New Roman" w:hAnsi="Times New Roman"/>
                <w:color w:val="000000" w:themeColor="text1"/>
                <w:sz w:val="20"/>
                <w:szCs w:val="20"/>
                <w:lang w:val="en-US"/>
              </w:rPr>
              <w:t>Grid Investment and Access Equity</w:t>
            </w:r>
          </w:p>
        </w:tc>
        <w:tc>
          <w:tcPr>
            <w:tcW w:w="4530" w:type="dxa"/>
            <w:vAlign w:val="center"/>
          </w:tcPr>
          <w:p w14:paraId="16DD02D8" w14:textId="5BC63599" w:rsidR="002D0001" w:rsidRDefault="002D0001" w:rsidP="002D0001">
            <w:pPr>
              <w:spacing w:after="0" w:line="240" w:lineRule="auto"/>
              <w:jc w:val="both"/>
              <w:rPr>
                <w:rFonts w:ascii="Times New Roman" w:hAnsi="Times New Roman"/>
                <w:color w:val="000000" w:themeColor="text1"/>
                <w:sz w:val="18"/>
                <w:szCs w:val="18"/>
                <w:lang w:val="en-US"/>
              </w:rPr>
            </w:pPr>
            <w:r w:rsidRPr="008813F9">
              <w:rPr>
                <w:rFonts w:ascii="Times New Roman" w:hAnsi="Times New Roman"/>
                <w:color w:val="000000" w:themeColor="text1"/>
                <w:sz w:val="20"/>
                <w:szCs w:val="20"/>
              </w:rPr>
              <w:t xml:space="preserve">SDG 9: </w:t>
            </w:r>
            <w:proofErr w:type="spellStart"/>
            <w:r w:rsidRPr="008813F9">
              <w:rPr>
                <w:rFonts w:ascii="Times New Roman" w:hAnsi="Times New Roman"/>
                <w:color w:val="000000" w:themeColor="text1"/>
                <w:sz w:val="20"/>
                <w:szCs w:val="20"/>
              </w:rPr>
              <w:t>Industry</w:t>
            </w:r>
            <w:proofErr w:type="spellEnd"/>
            <w:r w:rsidRPr="008813F9">
              <w:rPr>
                <w:rFonts w:ascii="Times New Roman" w:hAnsi="Times New Roman"/>
                <w:color w:val="000000" w:themeColor="text1"/>
                <w:sz w:val="20"/>
                <w:szCs w:val="20"/>
              </w:rPr>
              <w:t xml:space="preserve">, </w:t>
            </w:r>
            <w:proofErr w:type="spellStart"/>
            <w:r w:rsidRPr="008813F9">
              <w:rPr>
                <w:rFonts w:ascii="Times New Roman" w:hAnsi="Times New Roman"/>
                <w:color w:val="000000" w:themeColor="text1"/>
                <w:sz w:val="20"/>
                <w:szCs w:val="20"/>
              </w:rPr>
              <w:t>Innovation</w:t>
            </w:r>
            <w:proofErr w:type="spellEnd"/>
            <w:r w:rsidRPr="008813F9">
              <w:rPr>
                <w:rFonts w:ascii="Times New Roman" w:hAnsi="Times New Roman"/>
                <w:color w:val="000000" w:themeColor="text1"/>
                <w:sz w:val="20"/>
                <w:szCs w:val="20"/>
              </w:rPr>
              <w:t xml:space="preserve">, </w:t>
            </w:r>
            <w:proofErr w:type="spellStart"/>
            <w:r w:rsidRPr="008813F9">
              <w:rPr>
                <w:rFonts w:ascii="Times New Roman" w:hAnsi="Times New Roman"/>
                <w:color w:val="000000" w:themeColor="text1"/>
                <w:sz w:val="20"/>
                <w:szCs w:val="20"/>
              </w:rPr>
              <w:t>Infrastructure</w:t>
            </w:r>
            <w:proofErr w:type="spellEnd"/>
          </w:p>
        </w:tc>
      </w:tr>
      <w:tr w:rsidR="002D0001" w14:paraId="6E2D2A23" w14:textId="77777777" w:rsidTr="002D0001">
        <w:tc>
          <w:tcPr>
            <w:tcW w:w="4530" w:type="dxa"/>
            <w:vAlign w:val="center"/>
          </w:tcPr>
          <w:p w14:paraId="4A1C11CC" w14:textId="5E0328F0" w:rsidR="002D0001" w:rsidRDefault="002D0001" w:rsidP="002D0001">
            <w:pPr>
              <w:spacing w:after="0" w:line="240" w:lineRule="auto"/>
              <w:jc w:val="both"/>
              <w:rPr>
                <w:rFonts w:ascii="Times New Roman" w:hAnsi="Times New Roman"/>
                <w:color w:val="000000" w:themeColor="text1"/>
                <w:sz w:val="18"/>
                <w:szCs w:val="18"/>
                <w:lang w:val="en-US"/>
              </w:rPr>
            </w:pPr>
            <w:proofErr w:type="spellStart"/>
            <w:r w:rsidRPr="008813F9">
              <w:rPr>
                <w:rFonts w:ascii="Times New Roman" w:hAnsi="Times New Roman"/>
                <w:color w:val="000000" w:themeColor="text1"/>
                <w:sz w:val="20"/>
                <w:szCs w:val="20"/>
              </w:rPr>
              <w:t>Regional</w:t>
            </w:r>
            <w:proofErr w:type="spellEnd"/>
            <w:r w:rsidRPr="008813F9">
              <w:rPr>
                <w:rFonts w:ascii="Times New Roman" w:hAnsi="Times New Roman"/>
                <w:color w:val="000000" w:themeColor="text1"/>
                <w:sz w:val="20"/>
                <w:szCs w:val="20"/>
              </w:rPr>
              <w:t xml:space="preserve"> </w:t>
            </w:r>
            <w:proofErr w:type="spellStart"/>
            <w:r w:rsidRPr="008813F9">
              <w:rPr>
                <w:rFonts w:ascii="Times New Roman" w:hAnsi="Times New Roman"/>
                <w:color w:val="000000" w:themeColor="text1"/>
                <w:sz w:val="20"/>
                <w:szCs w:val="20"/>
              </w:rPr>
              <w:t>Grid</w:t>
            </w:r>
            <w:proofErr w:type="spellEnd"/>
            <w:r w:rsidRPr="008813F9">
              <w:rPr>
                <w:rFonts w:ascii="Times New Roman" w:hAnsi="Times New Roman"/>
                <w:color w:val="000000" w:themeColor="text1"/>
                <w:sz w:val="20"/>
                <w:szCs w:val="20"/>
              </w:rPr>
              <w:t xml:space="preserve"> </w:t>
            </w:r>
            <w:proofErr w:type="spellStart"/>
            <w:r w:rsidRPr="008813F9">
              <w:rPr>
                <w:rFonts w:ascii="Times New Roman" w:hAnsi="Times New Roman"/>
                <w:color w:val="000000" w:themeColor="text1"/>
                <w:sz w:val="20"/>
                <w:szCs w:val="20"/>
              </w:rPr>
              <w:t>Disparities</w:t>
            </w:r>
            <w:proofErr w:type="spellEnd"/>
          </w:p>
        </w:tc>
        <w:tc>
          <w:tcPr>
            <w:tcW w:w="4530" w:type="dxa"/>
            <w:vAlign w:val="center"/>
          </w:tcPr>
          <w:p w14:paraId="31E39C79" w14:textId="3A4670C8" w:rsidR="002D0001" w:rsidRDefault="002D0001" w:rsidP="002D0001">
            <w:pPr>
              <w:spacing w:after="0" w:line="240" w:lineRule="auto"/>
              <w:jc w:val="both"/>
              <w:rPr>
                <w:rFonts w:ascii="Times New Roman" w:hAnsi="Times New Roman"/>
                <w:color w:val="000000" w:themeColor="text1"/>
                <w:sz w:val="18"/>
                <w:szCs w:val="18"/>
                <w:lang w:val="en-US"/>
              </w:rPr>
            </w:pPr>
            <w:r w:rsidRPr="008813F9">
              <w:rPr>
                <w:rFonts w:ascii="Times New Roman" w:hAnsi="Times New Roman"/>
                <w:color w:val="000000" w:themeColor="text1"/>
                <w:sz w:val="20"/>
                <w:szCs w:val="20"/>
              </w:rPr>
              <w:t xml:space="preserve">SDG 10: </w:t>
            </w:r>
            <w:proofErr w:type="spellStart"/>
            <w:r w:rsidRPr="008813F9">
              <w:rPr>
                <w:rFonts w:ascii="Times New Roman" w:hAnsi="Times New Roman"/>
                <w:color w:val="000000" w:themeColor="text1"/>
                <w:sz w:val="20"/>
                <w:szCs w:val="20"/>
              </w:rPr>
              <w:t>Reduced</w:t>
            </w:r>
            <w:proofErr w:type="spellEnd"/>
            <w:r w:rsidRPr="008813F9">
              <w:rPr>
                <w:rFonts w:ascii="Times New Roman" w:hAnsi="Times New Roman"/>
                <w:color w:val="000000" w:themeColor="text1"/>
                <w:sz w:val="20"/>
                <w:szCs w:val="20"/>
              </w:rPr>
              <w:t xml:space="preserve"> </w:t>
            </w:r>
            <w:proofErr w:type="spellStart"/>
            <w:r w:rsidRPr="008813F9">
              <w:rPr>
                <w:rFonts w:ascii="Times New Roman" w:hAnsi="Times New Roman"/>
                <w:color w:val="000000" w:themeColor="text1"/>
                <w:sz w:val="20"/>
                <w:szCs w:val="20"/>
              </w:rPr>
              <w:t>Inequalities</w:t>
            </w:r>
            <w:proofErr w:type="spellEnd"/>
          </w:p>
        </w:tc>
      </w:tr>
      <w:tr w:rsidR="002D0001" w14:paraId="39E12FF7" w14:textId="77777777" w:rsidTr="002D0001">
        <w:tc>
          <w:tcPr>
            <w:tcW w:w="4530" w:type="dxa"/>
            <w:vAlign w:val="center"/>
          </w:tcPr>
          <w:p w14:paraId="24AD7B88" w14:textId="3B616A38" w:rsidR="002D0001" w:rsidRDefault="002D0001" w:rsidP="002D0001">
            <w:pPr>
              <w:spacing w:after="0" w:line="240" w:lineRule="auto"/>
              <w:jc w:val="both"/>
              <w:rPr>
                <w:rFonts w:ascii="Times New Roman" w:hAnsi="Times New Roman"/>
                <w:color w:val="000000" w:themeColor="text1"/>
                <w:sz w:val="18"/>
                <w:szCs w:val="18"/>
                <w:lang w:val="en-US"/>
              </w:rPr>
            </w:pPr>
            <w:proofErr w:type="spellStart"/>
            <w:r w:rsidRPr="008813F9">
              <w:rPr>
                <w:rFonts w:ascii="Times New Roman" w:hAnsi="Times New Roman"/>
                <w:color w:val="000000" w:themeColor="text1"/>
                <w:sz w:val="20"/>
                <w:szCs w:val="20"/>
              </w:rPr>
              <w:t>Emissions</w:t>
            </w:r>
            <w:proofErr w:type="spellEnd"/>
            <w:r w:rsidRPr="008813F9">
              <w:rPr>
                <w:rFonts w:ascii="Times New Roman" w:hAnsi="Times New Roman"/>
                <w:color w:val="000000" w:themeColor="text1"/>
                <w:sz w:val="20"/>
                <w:szCs w:val="20"/>
              </w:rPr>
              <w:t xml:space="preserve"> </w:t>
            </w:r>
            <w:proofErr w:type="spellStart"/>
            <w:r w:rsidRPr="008813F9">
              <w:rPr>
                <w:rFonts w:ascii="Times New Roman" w:hAnsi="Times New Roman"/>
                <w:color w:val="000000" w:themeColor="text1"/>
                <w:sz w:val="20"/>
                <w:szCs w:val="20"/>
              </w:rPr>
              <w:t>Reduction</w:t>
            </w:r>
            <w:proofErr w:type="spellEnd"/>
            <w:r w:rsidRPr="008813F9">
              <w:rPr>
                <w:rFonts w:ascii="Times New Roman" w:hAnsi="Times New Roman"/>
                <w:color w:val="000000" w:themeColor="text1"/>
                <w:sz w:val="20"/>
                <w:szCs w:val="20"/>
              </w:rPr>
              <w:t xml:space="preserve"> </w:t>
            </w:r>
            <w:proofErr w:type="spellStart"/>
            <w:r w:rsidRPr="008813F9">
              <w:rPr>
                <w:rFonts w:ascii="Times New Roman" w:hAnsi="Times New Roman"/>
                <w:color w:val="000000" w:themeColor="text1"/>
                <w:sz w:val="20"/>
                <w:szCs w:val="20"/>
              </w:rPr>
              <w:t>Scenarios</w:t>
            </w:r>
            <w:proofErr w:type="spellEnd"/>
          </w:p>
        </w:tc>
        <w:tc>
          <w:tcPr>
            <w:tcW w:w="4530" w:type="dxa"/>
            <w:vAlign w:val="center"/>
          </w:tcPr>
          <w:p w14:paraId="2E68C9E1" w14:textId="2334BDB6" w:rsidR="002D0001" w:rsidRDefault="002D0001" w:rsidP="002D0001">
            <w:pPr>
              <w:spacing w:after="0" w:line="240" w:lineRule="auto"/>
              <w:jc w:val="both"/>
              <w:rPr>
                <w:rFonts w:ascii="Times New Roman" w:hAnsi="Times New Roman"/>
                <w:color w:val="000000" w:themeColor="text1"/>
                <w:sz w:val="18"/>
                <w:szCs w:val="18"/>
                <w:lang w:val="en-US"/>
              </w:rPr>
            </w:pPr>
            <w:r w:rsidRPr="008813F9">
              <w:rPr>
                <w:rFonts w:ascii="Times New Roman" w:hAnsi="Times New Roman"/>
                <w:color w:val="000000" w:themeColor="text1"/>
                <w:sz w:val="20"/>
                <w:szCs w:val="20"/>
              </w:rPr>
              <w:t xml:space="preserve">SDG 13: </w:t>
            </w:r>
            <w:proofErr w:type="spellStart"/>
            <w:r w:rsidRPr="008813F9">
              <w:rPr>
                <w:rFonts w:ascii="Times New Roman" w:hAnsi="Times New Roman"/>
                <w:color w:val="000000" w:themeColor="text1"/>
                <w:sz w:val="20"/>
                <w:szCs w:val="20"/>
              </w:rPr>
              <w:t>Climate</w:t>
            </w:r>
            <w:proofErr w:type="spellEnd"/>
            <w:r w:rsidRPr="008813F9">
              <w:rPr>
                <w:rFonts w:ascii="Times New Roman" w:hAnsi="Times New Roman"/>
                <w:color w:val="000000" w:themeColor="text1"/>
                <w:sz w:val="20"/>
                <w:szCs w:val="20"/>
              </w:rPr>
              <w:t xml:space="preserve"> Action</w:t>
            </w:r>
          </w:p>
        </w:tc>
      </w:tr>
    </w:tbl>
    <w:p w14:paraId="43D8E639" w14:textId="77777777" w:rsidR="002D0001" w:rsidRDefault="002D0001" w:rsidP="008813F9">
      <w:pPr>
        <w:spacing w:after="0" w:line="240" w:lineRule="auto"/>
        <w:jc w:val="both"/>
        <w:rPr>
          <w:rFonts w:ascii="Times New Roman" w:hAnsi="Times New Roman"/>
          <w:color w:val="000000" w:themeColor="text1"/>
          <w:sz w:val="18"/>
          <w:szCs w:val="18"/>
          <w:lang w:val="en-US"/>
        </w:rPr>
      </w:pPr>
    </w:p>
    <w:p w14:paraId="59B5B3F4" w14:textId="68665674" w:rsidR="008813F9" w:rsidRDefault="008813F9">
      <w:pPr>
        <w:pStyle w:val="Akapitzlist"/>
        <w:numPr>
          <w:ilvl w:val="0"/>
          <w:numId w:val="15"/>
        </w:numPr>
        <w:spacing w:after="0" w:line="240" w:lineRule="auto"/>
        <w:jc w:val="both"/>
        <w:rPr>
          <w:rFonts w:ascii="Times New Roman" w:hAnsi="Times New Roman"/>
          <w:b/>
          <w:bCs/>
          <w:color w:val="000000" w:themeColor="text1"/>
          <w:sz w:val="20"/>
          <w:szCs w:val="20"/>
        </w:rPr>
      </w:pPr>
      <w:proofErr w:type="spellStart"/>
      <w:r w:rsidRPr="002D0001">
        <w:rPr>
          <w:rFonts w:ascii="Times New Roman" w:hAnsi="Times New Roman"/>
          <w:b/>
          <w:bCs/>
          <w:color w:val="000000" w:themeColor="text1"/>
          <w:sz w:val="20"/>
          <w:szCs w:val="20"/>
        </w:rPr>
        <w:t>Conclusion</w:t>
      </w:r>
      <w:proofErr w:type="spellEnd"/>
    </w:p>
    <w:p w14:paraId="520D9671" w14:textId="77777777" w:rsidR="003D6628" w:rsidRPr="002D0001" w:rsidRDefault="003D6628">
      <w:pPr>
        <w:pStyle w:val="Akapitzlist"/>
        <w:numPr>
          <w:ilvl w:val="0"/>
          <w:numId w:val="15"/>
        </w:numPr>
        <w:spacing w:after="0" w:line="240" w:lineRule="auto"/>
        <w:jc w:val="both"/>
        <w:rPr>
          <w:rFonts w:ascii="Times New Roman" w:hAnsi="Times New Roman"/>
          <w:b/>
          <w:bCs/>
          <w:color w:val="000000" w:themeColor="text1"/>
          <w:sz w:val="20"/>
          <w:szCs w:val="20"/>
        </w:rPr>
      </w:pPr>
    </w:p>
    <w:p w14:paraId="2AC5772D" w14:textId="77777777" w:rsidR="008813F9" w:rsidRPr="008813F9" w:rsidRDefault="008813F9" w:rsidP="002D0001">
      <w:pPr>
        <w:spacing w:after="0" w:line="240" w:lineRule="auto"/>
        <w:jc w:val="both"/>
        <w:rPr>
          <w:rFonts w:ascii="Times New Roman" w:hAnsi="Times New Roman"/>
          <w:color w:val="000000" w:themeColor="text1"/>
          <w:sz w:val="20"/>
          <w:szCs w:val="20"/>
          <w:lang w:val="en-US" w:eastAsia="fr-FR"/>
        </w:rPr>
      </w:pPr>
      <w:r w:rsidRPr="008813F9">
        <w:rPr>
          <w:rFonts w:ascii="Times New Roman" w:hAnsi="Times New Roman"/>
          <w:color w:val="000000" w:themeColor="text1"/>
          <w:sz w:val="20"/>
          <w:szCs w:val="20"/>
          <w:lang w:val="en-US" w:eastAsia="fr-FR"/>
        </w:rPr>
        <w:t>This study delivers the first spatially disaggregated analysis of electricity network capacity requirements to support industrial decarbonization in China within the broader context of sustainable development. By integrating grid headroom data, industrial electricity demand projections, and geospatial constraint modeling, we identify critical infrastructure gaps that could hinder China’s progress toward its 2030 and 2060 carbon neutrality goals.</w:t>
      </w:r>
    </w:p>
    <w:p w14:paraId="7E4EE523" w14:textId="6ECFAFEA"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 xml:space="preserve">Key findings reveal that under full industrial electrification pathways, China will require between </w:t>
      </w:r>
      <w:r w:rsidRPr="008813F9">
        <w:rPr>
          <w:rFonts w:ascii="Times New Roman" w:hAnsi="Times New Roman"/>
          <w:b/>
          <w:bCs/>
          <w:color w:val="000000" w:themeColor="text1"/>
          <w:sz w:val="20"/>
          <w:szCs w:val="20"/>
          <w:lang w:val="en-US"/>
        </w:rPr>
        <w:t>670 and 850 GW</w:t>
      </w:r>
      <w:r w:rsidRPr="008813F9">
        <w:rPr>
          <w:rFonts w:ascii="Times New Roman" w:hAnsi="Times New Roman"/>
          <w:color w:val="000000" w:themeColor="text1"/>
          <w:sz w:val="20"/>
          <w:szCs w:val="20"/>
          <w:lang w:val="en-US"/>
        </w:rPr>
        <w:t xml:space="preserve"> of additional electricity network capacity by 2050. Without proactive planning and targeted investments, </w:t>
      </w:r>
      <w:r w:rsidRPr="008813F9">
        <w:rPr>
          <w:rFonts w:ascii="Times New Roman" w:hAnsi="Times New Roman"/>
          <w:b/>
          <w:bCs/>
          <w:color w:val="000000" w:themeColor="text1"/>
          <w:sz w:val="20"/>
          <w:szCs w:val="20"/>
          <w:lang w:val="en-US"/>
        </w:rPr>
        <w:t>over 57%</w:t>
      </w:r>
      <w:r w:rsidRPr="008813F9">
        <w:rPr>
          <w:rFonts w:ascii="Times New Roman" w:hAnsi="Times New Roman"/>
          <w:color w:val="000000" w:themeColor="text1"/>
          <w:sz w:val="20"/>
          <w:szCs w:val="20"/>
          <w:lang w:val="en-US"/>
        </w:rPr>
        <w:t xml:space="preserve"> of point-source industrial sites</w:t>
      </w:r>
      <w:r w:rsidR="002D0001">
        <w:rPr>
          <w:rFonts w:ascii="Times New Roman" w:hAnsi="Times New Roman"/>
          <w:color w:val="000000" w:themeColor="text1"/>
          <w:sz w:val="20"/>
          <w:szCs w:val="20"/>
          <w:lang w:val="en-US"/>
        </w:rPr>
        <w:t xml:space="preserve"> – </w:t>
      </w:r>
      <w:r w:rsidRPr="008813F9">
        <w:rPr>
          <w:rFonts w:ascii="Times New Roman" w:hAnsi="Times New Roman"/>
          <w:color w:val="000000" w:themeColor="text1"/>
          <w:sz w:val="20"/>
          <w:szCs w:val="20"/>
          <w:lang w:val="en-US"/>
        </w:rPr>
        <w:t>especially in western and central provinces</w:t>
      </w:r>
      <w:r w:rsidR="002D0001">
        <w:rPr>
          <w:rFonts w:ascii="Times New Roman" w:hAnsi="Times New Roman"/>
          <w:color w:val="000000" w:themeColor="text1"/>
          <w:sz w:val="20"/>
          <w:szCs w:val="20"/>
          <w:lang w:val="en-US"/>
        </w:rPr>
        <w:t xml:space="preserve"> – </w:t>
      </w:r>
      <w:r w:rsidRPr="008813F9">
        <w:rPr>
          <w:rFonts w:ascii="Times New Roman" w:hAnsi="Times New Roman"/>
          <w:color w:val="000000" w:themeColor="text1"/>
          <w:sz w:val="20"/>
          <w:szCs w:val="20"/>
          <w:lang w:val="en-US"/>
        </w:rPr>
        <w:t xml:space="preserve">face significant risk of grid constraints. These include substation overloads, transmission bottlenecks, and access delays, which could result in more than </w:t>
      </w:r>
      <w:r w:rsidRPr="008813F9">
        <w:rPr>
          <w:rFonts w:ascii="Times New Roman" w:hAnsi="Times New Roman"/>
          <w:b/>
          <w:bCs/>
          <w:color w:val="000000" w:themeColor="text1"/>
          <w:sz w:val="20"/>
          <w:szCs w:val="20"/>
          <w:lang w:val="en-US"/>
        </w:rPr>
        <w:t xml:space="preserve">130 </w:t>
      </w:r>
      <w:proofErr w:type="spellStart"/>
      <w:r w:rsidRPr="008813F9">
        <w:rPr>
          <w:rFonts w:ascii="Times New Roman" w:hAnsi="Times New Roman"/>
          <w:b/>
          <w:bCs/>
          <w:color w:val="000000" w:themeColor="text1"/>
          <w:sz w:val="20"/>
          <w:szCs w:val="20"/>
          <w:lang w:val="en-US"/>
        </w:rPr>
        <w:t>MtCO₂e</w:t>
      </w:r>
      <w:proofErr w:type="spellEnd"/>
      <w:r w:rsidRPr="008813F9">
        <w:rPr>
          <w:rFonts w:ascii="Times New Roman" w:hAnsi="Times New Roman"/>
          <w:b/>
          <w:bCs/>
          <w:color w:val="000000" w:themeColor="text1"/>
          <w:sz w:val="20"/>
          <w:szCs w:val="20"/>
          <w:lang w:val="en-US"/>
        </w:rPr>
        <w:t xml:space="preserve"> of avoidable emissions annually</w:t>
      </w:r>
      <w:r w:rsidRPr="008813F9">
        <w:rPr>
          <w:rFonts w:ascii="Times New Roman" w:hAnsi="Times New Roman"/>
          <w:color w:val="000000" w:themeColor="text1"/>
          <w:sz w:val="20"/>
          <w:szCs w:val="20"/>
          <w:lang w:val="en-US"/>
        </w:rPr>
        <w:t xml:space="preserve">. Sectors most affected include </w:t>
      </w:r>
      <w:r w:rsidRPr="008813F9">
        <w:rPr>
          <w:rFonts w:ascii="Times New Roman" w:hAnsi="Times New Roman"/>
          <w:b/>
          <w:bCs/>
          <w:color w:val="000000" w:themeColor="text1"/>
          <w:sz w:val="20"/>
          <w:szCs w:val="20"/>
          <w:lang w:val="en-US"/>
        </w:rPr>
        <w:t>steel, cement, chemicals, and food processing</w:t>
      </w:r>
      <w:r w:rsidRPr="008813F9">
        <w:rPr>
          <w:rFonts w:ascii="Times New Roman" w:hAnsi="Times New Roman"/>
          <w:color w:val="000000" w:themeColor="text1"/>
          <w:sz w:val="20"/>
          <w:szCs w:val="20"/>
          <w:lang w:val="en-US"/>
        </w:rPr>
        <w:t>, with suburban and remote industrial clusters facing the highest vulnerability.</w:t>
      </w:r>
    </w:p>
    <w:p w14:paraId="33B95A7D" w14:textId="0301FF54"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 xml:space="preserve">This research contributes not only to China's national decarbonization strategy but also to the </w:t>
      </w:r>
      <w:r w:rsidRPr="008813F9">
        <w:rPr>
          <w:rFonts w:ascii="Times New Roman" w:hAnsi="Times New Roman"/>
          <w:b/>
          <w:bCs/>
          <w:color w:val="000000" w:themeColor="text1"/>
          <w:sz w:val="20"/>
          <w:szCs w:val="20"/>
          <w:lang w:val="en-US"/>
        </w:rPr>
        <w:t>global agenda for sustainable development</w:t>
      </w:r>
      <w:r w:rsidRPr="008813F9">
        <w:rPr>
          <w:rFonts w:ascii="Times New Roman" w:hAnsi="Times New Roman"/>
          <w:color w:val="000000" w:themeColor="text1"/>
          <w:sz w:val="20"/>
          <w:szCs w:val="20"/>
          <w:lang w:val="en-US"/>
        </w:rPr>
        <w:t xml:space="preserve">. By explicitly mapping our results to the </w:t>
      </w:r>
      <w:r w:rsidRPr="008813F9">
        <w:rPr>
          <w:rFonts w:ascii="Times New Roman" w:hAnsi="Times New Roman"/>
          <w:b/>
          <w:bCs/>
          <w:color w:val="000000" w:themeColor="text1"/>
          <w:sz w:val="20"/>
          <w:szCs w:val="20"/>
          <w:lang w:val="en-US"/>
        </w:rPr>
        <w:t>Sustainable Development Goals (SDGs)</w:t>
      </w:r>
      <w:r w:rsidR="002D0001">
        <w:rPr>
          <w:rFonts w:ascii="Times New Roman" w:hAnsi="Times New Roman"/>
          <w:color w:val="000000" w:themeColor="text1"/>
          <w:sz w:val="20"/>
          <w:szCs w:val="20"/>
          <w:lang w:val="en-US"/>
        </w:rPr>
        <w:t xml:space="preserve"> – </w:t>
      </w:r>
      <w:r w:rsidRPr="008813F9">
        <w:rPr>
          <w:rFonts w:ascii="Times New Roman" w:hAnsi="Times New Roman"/>
          <w:color w:val="000000" w:themeColor="text1"/>
          <w:sz w:val="20"/>
          <w:szCs w:val="20"/>
          <w:lang w:val="en-US"/>
        </w:rPr>
        <w:t>notably SDG 7 (Affordable and Clean Energy), SDG 9 (Industry, Innovation and Infrastructure), and SDG 13 (Climate Action)</w:t>
      </w:r>
      <w:r w:rsidR="002D0001">
        <w:rPr>
          <w:rFonts w:ascii="Times New Roman" w:hAnsi="Times New Roman"/>
          <w:color w:val="000000" w:themeColor="text1"/>
          <w:sz w:val="20"/>
          <w:szCs w:val="20"/>
          <w:lang w:val="en-US"/>
        </w:rPr>
        <w:t xml:space="preserve"> – </w:t>
      </w:r>
      <w:r w:rsidRPr="008813F9">
        <w:rPr>
          <w:rFonts w:ascii="Times New Roman" w:hAnsi="Times New Roman"/>
          <w:color w:val="000000" w:themeColor="text1"/>
          <w:sz w:val="20"/>
          <w:szCs w:val="20"/>
          <w:lang w:val="en-US"/>
        </w:rPr>
        <w:t>we demonstrate the systemic risks of underinvesting in grid infrastructure and the need for cross-sectoral coordination. Our findings show that industrial electrification is not merely a technological upgrade; it is a multidimensional sustainability challenge that requires balancing economic productivity, social equity (in terms of regional access and development), and environmental protection.</w:t>
      </w:r>
    </w:p>
    <w:p w14:paraId="68D1411A" w14:textId="1BE26C4A"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 xml:space="preserve">Moreover, this paper aligns with the Chinese national vision of </w:t>
      </w:r>
      <w:r w:rsidRPr="002D0001">
        <w:rPr>
          <w:rFonts w:ascii="Times New Roman" w:hAnsi="Times New Roman"/>
          <w:b/>
          <w:bCs/>
          <w:i/>
          <w:iCs/>
          <w:color w:val="000000" w:themeColor="text1"/>
          <w:sz w:val="20"/>
          <w:szCs w:val="20"/>
          <w:lang w:val="en-US"/>
        </w:rPr>
        <w:t>ecological civilization</w:t>
      </w:r>
      <w:r w:rsidRPr="008813F9">
        <w:rPr>
          <w:rFonts w:ascii="Times New Roman" w:hAnsi="Times New Roman"/>
          <w:color w:val="000000" w:themeColor="text1"/>
          <w:sz w:val="20"/>
          <w:szCs w:val="20"/>
          <w:lang w:val="en-US"/>
        </w:rPr>
        <w:t>, emphasizing those energy transition strategies must incorporate sustainability principles at their core. Network infrastructure must no longer lag behind decarbonization targets</w:t>
      </w:r>
      <w:r w:rsidR="002D0001">
        <w:rPr>
          <w:rFonts w:ascii="Times New Roman" w:hAnsi="Times New Roman"/>
          <w:color w:val="000000" w:themeColor="text1"/>
          <w:sz w:val="20"/>
          <w:szCs w:val="20"/>
          <w:lang w:val="en-US"/>
        </w:rPr>
        <w:t xml:space="preserve"> – i</w:t>
      </w:r>
      <w:r w:rsidRPr="008813F9">
        <w:rPr>
          <w:rFonts w:ascii="Times New Roman" w:hAnsi="Times New Roman"/>
          <w:color w:val="000000" w:themeColor="text1"/>
          <w:sz w:val="20"/>
          <w:szCs w:val="20"/>
          <w:lang w:val="en-US"/>
        </w:rPr>
        <w:t xml:space="preserve">t must become a strategic enabler of the green transition. This requires the integration of </w:t>
      </w:r>
      <w:r w:rsidRPr="008813F9">
        <w:rPr>
          <w:rFonts w:ascii="Times New Roman" w:hAnsi="Times New Roman"/>
          <w:b/>
          <w:bCs/>
          <w:color w:val="000000" w:themeColor="text1"/>
          <w:sz w:val="20"/>
          <w:szCs w:val="20"/>
          <w:lang w:val="en-US"/>
        </w:rPr>
        <w:t>spatial planning</w:t>
      </w:r>
      <w:r w:rsidRPr="008813F9">
        <w:rPr>
          <w:rFonts w:ascii="Times New Roman" w:hAnsi="Times New Roman"/>
          <w:color w:val="000000" w:themeColor="text1"/>
          <w:sz w:val="20"/>
          <w:szCs w:val="20"/>
          <w:lang w:val="en-US"/>
        </w:rPr>
        <w:t xml:space="preserve">, </w:t>
      </w:r>
      <w:r w:rsidRPr="008813F9">
        <w:rPr>
          <w:rFonts w:ascii="Times New Roman" w:hAnsi="Times New Roman"/>
          <w:b/>
          <w:bCs/>
          <w:color w:val="000000" w:themeColor="text1"/>
          <w:sz w:val="20"/>
          <w:szCs w:val="20"/>
          <w:lang w:val="en-US"/>
        </w:rPr>
        <w:t>digital grid modernization</w:t>
      </w:r>
      <w:r w:rsidRPr="008813F9">
        <w:rPr>
          <w:rFonts w:ascii="Times New Roman" w:hAnsi="Times New Roman"/>
          <w:color w:val="000000" w:themeColor="text1"/>
          <w:sz w:val="20"/>
          <w:szCs w:val="20"/>
          <w:lang w:val="en-US"/>
        </w:rPr>
        <w:t xml:space="preserve">, and </w:t>
      </w:r>
      <w:r w:rsidRPr="008813F9">
        <w:rPr>
          <w:rFonts w:ascii="Times New Roman" w:hAnsi="Times New Roman"/>
          <w:b/>
          <w:bCs/>
          <w:color w:val="000000" w:themeColor="text1"/>
          <w:sz w:val="20"/>
          <w:szCs w:val="20"/>
          <w:lang w:val="en-US"/>
        </w:rPr>
        <w:t>sustainability-linked financing</w:t>
      </w:r>
      <w:r w:rsidRPr="008813F9">
        <w:rPr>
          <w:rFonts w:ascii="Times New Roman" w:hAnsi="Times New Roman"/>
          <w:color w:val="000000" w:themeColor="text1"/>
          <w:sz w:val="20"/>
          <w:szCs w:val="20"/>
          <w:lang w:val="en-US"/>
        </w:rPr>
        <w:t>; all coordinated within regional development plans.</w:t>
      </w:r>
    </w:p>
    <w:p w14:paraId="3EBB7E87" w14:textId="458966B0"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Finally, while the study is grounded in the Chinese context, its implications extend beyond national borders. Many industrializing economies</w:t>
      </w:r>
      <w:r w:rsidR="002D0001">
        <w:rPr>
          <w:rFonts w:ascii="Times New Roman" w:hAnsi="Times New Roman"/>
          <w:color w:val="000000" w:themeColor="text1"/>
          <w:sz w:val="20"/>
          <w:szCs w:val="20"/>
          <w:lang w:val="en-US"/>
        </w:rPr>
        <w:t xml:space="preserve"> – </w:t>
      </w:r>
      <w:r w:rsidRPr="008813F9">
        <w:rPr>
          <w:rFonts w:ascii="Times New Roman" w:hAnsi="Times New Roman"/>
          <w:color w:val="000000" w:themeColor="text1"/>
          <w:sz w:val="20"/>
          <w:szCs w:val="20"/>
          <w:lang w:val="en-US"/>
        </w:rPr>
        <w:t>particularly in Asia, Latin America, and Africa</w:t>
      </w:r>
      <w:r w:rsidR="002D0001">
        <w:rPr>
          <w:rFonts w:ascii="Times New Roman" w:hAnsi="Times New Roman"/>
          <w:color w:val="000000" w:themeColor="text1"/>
          <w:sz w:val="20"/>
          <w:szCs w:val="20"/>
          <w:lang w:val="en-US"/>
        </w:rPr>
        <w:t xml:space="preserve"> – </w:t>
      </w:r>
      <w:r w:rsidRPr="008813F9">
        <w:rPr>
          <w:rFonts w:ascii="Times New Roman" w:hAnsi="Times New Roman"/>
          <w:color w:val="000000" w:themeColor="text1"/>
          <w:sz w:val="20"/>
          <w:szCs w:val="20"/>
          <w:lang w:val="en-US"/>
        </w:rPr>
        <w:t xml:space="preserve">face similar challenges of aligning electricity infrastructure with clean industry ambitions. Therefore, the framework and findings presented here offer a </w:t>
      </w:r>
      <w:r w:rsidRPr="008813F9">
        <w:rPr>
          <w:rFonts w:ascii="Times New Roman" w:hAnsi="Times New Roman"/>
          <w:b/>
          <w:bCs/>
          <w:color w:val="000000" w:themeColor="text1"/>
          <w:sz w:val="20"/>
          <w:szCs w:val="20"/>
          <w:lang w:val="en-US"/>
        </w:rPr>
        <w:t>replicable and policy-relevant model</w:t>
      </w:r>
      <w:r w:rsidRPr="008813F9">
        <w:rPr>
          <w:rFonts w:ascii="Times New Roman" w:hAnsi="Times New Roman"/>
          <w:color w:val="000000" w:themeColor="text1"/>
          <w:sz w:val="20"/>
          <w:szCs w:val="20"/>
          <w:lang w:val="en-US"/>
        </w:rPr>
        <w:t xml:space="preserve"> for countries seeking to decarbonize industry under infrastructure constraints.</w:t>
      </w:r>
    </w:p>
    <w:p w14:paraId="39F1D317" w14:textId="77777777" w:rsidR="008813F9" w:rsidRPr="008813F9" w:rsidRDefault="008813F9" w:rsidP="008813F9">
      <w:pPr>
        <w:spacing w:after="0" w:line="240" w:lineRule="auto"/>
        <w:jc w:val="both"/>
        <w:rPr>
          <w:rFonts w:ascii="Times New Roman" w:hAnsi="Times New Roman"/>
          <w:color w:val="000000" w:themeColor="text1"/>
          <w:sz w:val="20"/>
          <w:szCs w:val="20"/>
          <w:lang w:val="en-US"/>
        </w:rPr>
      </w:pPr>
      <w:r w:rsidRPr="008813F9">
        <w:rPr>
          <w:rFonts w:ascii="Times New Roman" w:hAnsi="Times New Roman"/>
          <w:color w:val="000000" w:themeColor="text1"/>
          <w:sz w:val="20"/>
          <w:szCs w:val="20"/>
          <w:lang w:val="en-US"/>
        </w:rPr>
        <w:t xml:space="preserve">In conclusion, achieving industrial net-zero emissions in China and elsewhere will depend not only on energy demand reduction and renewable generation, but also on </w:t>
      </w:r>
      <w:r w:rsidRPr="008813F9">
        <w:rPr>
          <w:rFonts w:ascii="Times New Roman" w:hAnsi="Times New Roman"/>
          <w:b/>
          <w:bCs/>
          <w:color w:val="000000" w:themeColor="text1"/>
          <w:sz w:val="20"/>
          <w:szCs w:val="20"/>
          <w:lang w:val="en-US"/>
        </w:rPr>
        <w:t>smart, equitable, and sustainable grid investment</w:t>
      </w:r>
      <w:r w:rsidRPr="008813F9">
        <w:rPr>
          <w:rFonts w:ascii="Times New Roman" w:hAnsi="Times New Roman"/>
          <w:color w:val="000000" w:themeColor="text1"/>
          <w:sz w:val="20"/>
          <w:szCs w:val="20"/>
          <w:lang w:val="en-US"/>
        </w:rPr>
        <w:t>. As global decarbonization accelerates, the success of national efforts will increasingly hinge on the capacity of electricity networks to serve as the backbone of a just and resilient transition.</w:t>
      </w:r>
    </w:p>
    <w:p w14:paraId="78EEEE4F" w14:textId="0139341B" w:rsidR="006373AC" w:rsidRPr="008813F9" w:rsidRDefault="006373AC" w:rsidP="008813F9">
      <w:pPr>
        <w:spacing w:after="0" w:line="240" w:lineRule="auto"/>
        <w:jc w:val="both"/>
        <w:rPr>
          <w:rFonts w:ascii="Times New Roman" w:hAnsi="Times New Roman"/>
          <w:sz w:val="20"/>
          <w:szCs w:val="20"/>
          <w:lang w:val="en-US"/>
        </w:rPr>
      </w:pPr>
    </w:p>
    <w:p w14:paraId="2A8E63D4" w14:textId="1740891F" w:rsidR="00EE62F8" w:rsidRPr="00EE62F8" w:rsidRDefault="00EE62F8" w:rsidP="00EE62F8">
      <w:pPr>
        <w:spacing w:after="0" w:line="240" w:lineRule="auto"/>
        <w:rPr>
          <w:rFonts w:ascii="Times New Roman" w:hAnsi="Times New Roman"/>
          <w:b/>
          <w:bCs/>
          <w:sz w:val="18"/>
          <w:szCs w:val="18"/>
          <w:lang w:val="en-US"/>
        </w:rPr>
      </w:pPr>
      <w:r w:rsidRPr="00EE62F8">
        <w:rPr>
          <w:rFonts w:ascii="Times New Roman" w:hAnsi="Times New Roman"/>
          <w:b/>
          <w:bCs/>
          <w:sz w:val="18"/>
          <w:szCs w:val="18"/>
          <w:lang w:val="en-US"/>
        </w:rPr>
        <w:t>References</w:t>
      </w:r>
    </w:p>
    <w:p w14:paraId="203CFA02" w14:textId="77777777" w:rsidR="00EE62F8" w:rsidRDefault="00EE62F8" w:rsidP="00EE62F8">
      <w:pPr>
        <w:spacing w:after="0" w:line="240" w:lineRule="auto"/>
        <w:rPr>
          <w:rFonts w:ascii="Times New Roman" w:hAnsi="Times New Roman"/>
          <w:sz w:val="18"/>
          <w:szCs w:val="18"/>
          <w:lang w:val="en-US"/>
        </w:rPr>
      </w:pPr>
    </w:p>
    <w:p w14:paraId="474BA181" w14:textId="5D7533FE"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AGHAHOSSEINI A., BOGDANOV D., BREYER C., 2021, Towards sustainable industrial electrification: A case study in India and Germany, </w:t>
      </w:r>
      <w:r w:rsidRPr="00EE62F8">
        <w:rPr>
          <w:rFonts w:ascii="Times New Roman" w:hAnsi="Times New Roman"/>
          <w:i/>
          <w:sz w:val="18"/>
          <w:szCs w:val="18"/>
          <w:lang w:val="en-US"/>
        </w:rPr>
        <w:t>Energy Conversion and Management</w:t>
      </w:r>
      <w:r>
        <w:rPr>
          <w:rFonts w:ascii="Times New Roman" w:hAnsi="Times New Roman"/>
          <w:i/>
          <w:sz w:val="18"/>
          <w:szCs w:val="18"/>
          <w:lang w:val="en-US"/>
        </w:rPr>
        <w:t>,</w:t>
      </w:r>
      <w:r w:rsidRPr="00EE62F8">
        <w:rPr>
          <w:rFonts w:ascii="Times New Roman" w:hAnsi="Times New Roman"/>
          <w:sz w:val="18"/>
          <w:szCs w:val="18"/>
          <w:lang w:val="en-US"/>
        </w:rPr>
        <w:t xml:space="preserve"> 235: 113985.</w:t>
      </w:r>
    </w:p>
    <w:p w14:paraId="3B7FAEED" w14:textId="74587C20"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BATAILLE C., 2020, Physical and policy pathways to net-zero emissions industry, </w:t>
      </w:r>
      <w:r w:rsidRPr="00EE62F8">
        <w:rPr>
          <w:rFonts w:ascii="Times New Roman" w:hAnsi="Times New Roman"/>
          <w:i/>
          <w:sz w:val="18"/>
          <w:szCs w:val="18"/>
          <w:lang w:val="en-US"/>
        </w:rPr>
        <w:t>Wiley Interdisciplinary Reviews: Climate Change</w:t>
      </w:r>
      <w:r>
        <w:rPr>
          <w:rFonts w:ascii="Times New Roman" w:hAnsi="Times New Roman"/>
          <w:i/>
          <w:sz w:val="18"/>
          <w:szCs w:val="18"/>
          <w:lang w:val="en-US"/>
        </w:rPr>
        <w:t>,</w:t>
      </w:r>
      <w:r w:rsidRPr="00EE62F8">
        <w:rPr>
          <w:rFonts w:ascii="Times New Roman" w:hAnsi="Times New Roman"/>
          <w:sz w:val="18"/>
          <w:szCs w:val="18"/>
          <w:lang w:val="en-US"/>
        </w:rPr>
        <w:t xml:space="preserve"> 11(6): e633.</w:t>
      </w:r>
    </w:p>
    <w:p w14:paraId="2C668481" w14:textId="019EC433"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BATAILLE C., ÅHMAN M., NEUHOFF K., NILSSON L.J., FISCHEDICK M., LECHTENBÖHMER S., 2021, A review of technology and policy deep decarbonization pathway options for making energy-intensive industry production consistent with the Paris Agreement, </w:t>
      </w:r>
      <w:r w:rsidRPr="00EE62F8">
        <w:rPr>
          <w:rFonts w:ascii="Times New Roman" w:hAnsi="Times New Roman"/>
          <w:i/>
          <w:sz w:val="18"/>
          <w:szCs w:val="18"/>
          <w:lang w:val="en-US"/>
        </w:rPr>
        <w:t>Journal of Cleaner Production</w:t>
      </w:r>
      <w:r>
        <w:rPr>
          <w:rFonts w:ascii="Times New Roman" w:hAnsi="Times New Roman"/>
          <w:i/>
          <w:sz w:val="18"/>
          <w:szCs w:val="18"/>
          <w:lang w:val="en-US"/>
        </w:rPr>
        <w:t>,</w:t>
      </w:r>
      <w:r w:rsidRPr="00EE62F8">
        <w:rPr>
          <w:rFonts w:ascii="Times New Roman" w:hAnsi="Times New Roman"/>
          <w:sz w:val="18"/>
          <w:szCs w:val="18"/>
          <w:lang w:val="en-US"/>
        </w:rPr>
        <w:t xml:space="preserve"> 281: 125303.</w:t>
      </w:r>
    </w:p>
    <w:p w14:paraId="73F60A7F" w14:textId="42D993A5"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lastRenderedPageBreak/>
        <w:t>BROWN T., SCHLACHTBERGER D., KIES A., SCHRAMM S., GREINER M., 2018, Synergies of sector coupling and transmission reinforcement in a cost-</w:t>
      </w:r>
      <w:proofErr w:type="spellStart"/>
      <w:r w:rsidRPr="00EE62F8">
        <w:rPr>
          <w:rFonts w:ascii="Times New Roman" w:hAnsi="Times New Roman"/>
          <w:sz w:val="18"/>
          <w:szCs w:val="18"/>
          <w:lang w:val="en-US"/>
        </w:rPr>
        <w:t>optimised</w:t>
      </w:r>
      <w:proofErr w:type="spellEnd"/>
      <w:r w:rsidRPr="00EE62F8">
        <w:rPr>
          <w:rFonts w:ascii="Times New Roman" w:hAnsi="Times New Roman"/>
          <w:sz w:val="18"/>
          <w:szCs w:val="18"/>
          <w:lang w:val="en-US"/>
        </w:rPr>
        <w:t xml:space="preserve">, highly renewable European energy system, </w:t>
      </w:r>
      <w:r w:rsidRPr="00EE62F8">
        <w:rPr>
          <w:rFonts w:ascii="Times New Roman" w:hAnsi="Times New Roman"/>
          <w:i/>
          <w:sz w:val="18"/>
          <w:szCs w:val="18"/>
          <w:lang w:val="en-US"/>
        </w:rPr>
        <w:t>Energy</w:t>
      </w:r>
      <w:r>
        <w:rPr>
          <w:rFonts w:ascii="Times New Roman" w:hAnsi="Times New Roman"/>
          <w:i/>
          <w:sz w:val="18"/>
          <w:szCs w:val="18"/>
          <w:lang w:val="en-US"/>
        </w:rPr>
        <w:t>,</w:t>
      </w:r>
      <w:r w:rsidRPr="00EE62F8">
        <w:rPr>
          <w:rFonts w:ascii="Times New Roman" w:hAnsi="Times New Roman"/>
          <w:sz w:val="18"/>
          <w:szCs w:val="18"/>
          <w:lang w:val="en-US"/>
        </w:rPr>
        <w:t xml:space="preserve"> 160: 720–739.</w:t>
      </w:r>
    </w:p>
    <w:p w14:paraId="40FDAED6" w14:textId="300206D9"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CAO H., ZHANG M., XU Y., 2023, Spatial disparity of energy infrastructure in China, </w:t>
      </w:r>
      <w:r w:rsidRPr="00EE62F8">
        <w:rPr>
          <w:rFonts w:ascii="Times New Roman" w:hAnsi="Times New Roman"/>
          <w:i/>
          <w:sz w:val="18"/>
          <w:szCs w:val="18"/>
          <w:lang w:val="en-US"/>
        </w:rPr>
        <w:t>Energy Reports</w:t>
      </w:r>
      <w:r>
        <w:rPr>
          <w:rFonts w:ascii="Times New Roman" w:hAnsi="Times New Roman"/>
          <w:i/>
          <w:sz w:val="18"/>
          <w:szCs w:val="18"/>
          <w:lang w:val="en-US"/>
        </w:rPr>
        <w:t>,</w:t>
      </w:r>
      <w:r w:rsidRPr="00EE62F8">
        <w:rPr>
          <w:rFonts w:ascii="Times New Roman" w:hAnsi="Times New Roman"/>
          <w:sz w:val="18"/>
          <w:szCs w:val="18"/>
          <w:lang w:val="en-US"/>
        </w:rPr>
        <w:t xml:space="preserve"> 9: 101–115.</w:t>
      </w:r>
    </w:p>
    <w:p w14:paraId="5F291597" w14:textId="58CD72F8"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CHEN Y., ZHOU T., LIN X., 2022, Regional planning coordination for China's dual-carbon goals, </w:t>
      </w:r>
      <w:r w:rsidRPr="00EE62F8">
        <w:rPr>
          <w:rFonts w:ascii="Times New Roman" w:hAnsi="Times New Roman"/>
          <w:i/>
          <w:sz w:val="18"/>
          <w:szCs w:val="18"/>
          <w:lang w:val="en-US"/>
        </w:rPr>
        <w:t>Environmental Science &amp; Policy</w:t>
      </w:r>
      <w:r>
        <w:rPr>
          <w:rFonts w:ascii="Times New Roman" w:hAnsi="Times New Roman"/>
          <w:i/>
          <w:sz w:val="18"/>
          <w:szCs w:val="18"/>
          <w:lang w:val="en-US"/>
        </w:rPr>
        <w:t>,</w:t>
      </w:r>
      <w:r w:rsidRPr="00EE62F8">
        <w:rPr>
          <w:rFonts w:ascii="Times New Roman" w:hAnsi="Times New Roman"/>
          <w:sz w:val="18"/>
          <w:szCs w:val="18"/>
          <w:lang w:val="en-US"/>
        </w:rPr>
        <w:t xml:space="preserve"> 138: 111–123.</w:t>
      </w:r>
    </w:p>
    <w:p w14:paraId="462E377E" w14:textId="14A2CD48"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CHINA ELECTRICITY COUNCIL, 2023, </w:t>
      </w:r>
      <w:r w:rsidRPr="00EE62F8">
        <w:rPr>
          <w:rFonts w:ascii="Times New Roman" w:hAnsi="Times New Roman"/>
          <w:i/>
          <w:iCs/>
          <w:sz w:val="18"/>
          <w:szCs w:val="18"/>
          <w:lang w:val="en-US"/>
        </w:rPr>
        <w:t>National Grid Carbon Budget Integration Report,</w:t>
      </w:r>
      <w:r w:rsidRPr="00EE62F8">
        <w:rPr>
          <w:rFonts w:ascii="Times New Roman" w:hAnsi="Times New Roman"/>
          <w:sz w:val="18"/>
          <w:szCs w:val="18"/>
          <w:lang w:val="en-US"/>
        </w:rPr>
        <w:t xml:space="preserve"> CEC Press, Beijing.</w:t>
      </w:r>
    </w:p>
    <w:p w14:paraId="7613BD5A" w14:textId="5CC08083"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DONG H., WANG R., YUAN J., 2021, Urban industrial planning and power infrastructure mismatch in Chinese cities, </w:t>
      </w:r>
      <w:r w:rsidRPr="00EE62F8">
        <w:rPr>
          <w:rFonts w:ascii="Times New Roman" w:hAnsi="Times New Roman"/>
          <w:i/>
          <w:sz w:val="18"/>
          <w:szCs w:val="18"/>
          <w:lang w:val="en-US"/>
        </w:rPr>
        <w:t>Urban Studies</w:t>
      </w:r>
      <w:r>
        <w:rPr>
          <w:rFonts w:ascii="Times New Roman" w:hAnsi="Times New Roman"/>
          <w:i/>
          <w:sz w:val="18"/>
          <w:szCs w:val="18"/>
          <w:lang w:val="en-US"/>
        </w:rPr>
        <w:t>,</w:t>
      </w:r>
      <w:r w:rsidRPr="00EE62F8">
        <w:rPr>
          <w:rFonts w:ascii="Times New Roman" w:hAnsi="Times New Roman"/>
          <w:sz w:val="18"/>
          <w:szCs w:val="18"/>
          <w:lang w:val="en-US"/>
        </w:rPr>
        <w:t xml:space="preserve"> 58(4): 817–837.</w:t>
      </w:r>
    </w:p>
    <w:p w14:paraId="6E542B11" w14:textId="749E309F"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ENERGY TRANSITIONS COMMISSION, 2021, </w:t>
      </w:r>
      <w:r w:rsidRPr="00EE62F8">
        <w:rPr>
          <w:rFonts w:ascii="Times New Roman" w:hAnsi="Times New Roman"/>
          <w:i/>
          <w:iCs/>
          <w:sz w:val="18"/>
          <w:szCs w:val="18"/>
          <w:lang w:val="en-US"/>
        </w:rPr>
        <w:t>Making Clean Electrification Possible: 30 Years to Electrify the Global Economy</w:t>
      </w:r>
      <w:r w:rsidRPr="00EE62F8">
        <w:rPr>
          <w:rFonts w:ascii="Times New Roman" w:hAnsi="Times New Roman"/>
          <w:sz w:val="18"/>
          <w:szCs w:val="18"/>
          <w:lang w:val="en-US"/>
        </w:rPr>
        <w:t>, https://www.energy-transitions.org.</w:t>
      </w:r>
    </w:p>
    <w:p w14:paraId="2E05114E" w14:textId="600F1B6C"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FAN J.L., TANG X., XU M., 2022, Pathways to decarbonize China’s steel sector through electrification, </w:t>
      </w:r>
      <w:r w:rsidRPr="00EE62F8">
        <w:rPr>
          <w:rFonts w:ascii="Times New Roman" w:hAnsi="Times New Roman"/>
          <w:i/>
          <w:sz w:val="18"/>
          <w:szCs w:val="18"/>
          <w:lang w:val="en-US"/>
        </w:rPr>
        <w:t>Resources, Conservation &amp; Recycling</w:t>
      </w:r>
      <w:r>
        <w:rPr>
          <w:rFonts w:ascii="Times New Roman" w:hAnsi="Times New Roman"/>
          <w:i/>
          <w:sz w:val="18"/>
          <w:szCs w:val="18"/>
          <w:lang w:val="en-US"/>
        </w:rPr>
        <w:t>,</w:t>
      </w:r>
      <w:r w:rsidRPr="00EE62F8">
        <w:rPr>
          <w:rFonts w:ascii="Times New Roman" w:hAnsi="Times New Roman"/>
          <w:sz w:val="18"/>
          <w:szCs w:val="18"/>
          <w:lang w:val="en-US"/>
        </w:rPr>
        <w:t xml:space="preserve"> 182: 106305.</w:t>
      </w:r>
    </w:p>
    <w:p w14:paraId="1375A6FE" w14:textId="3E9BE569"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FENG K., HUBACEK K., GUAN D., 2020, Carbon footprints and policy analysis for China’s industry, </w:t>
      </w:r>
      <w:r w:rsidRPr="00EE62F8">
        <w:rPr>
          <w:rFonts w:ascii="Times New Roman" w:hAnsi="Times New Roman"/>
          <w:i/>
          <w:sz w:val="18"/>
          <w:szCs w:val="18"/>
          <w:lang w:val="en-US"/>
        </w:rPr>
        <w:t>Nature Communications</w:t>
      </w:r>
      <w:r>
        <w:rPr>
          <w:rFonts w:ascii="Times New Roman" w:hAnsi="Times New Roman"/>
          <w:i/>
          <w:sz w:val="18"/>
          <w:szCs w:val="18"/>
          <w:lang w:val="en-US"/>
        </w:rPr>
        <w:t>,</w:t>
      </w:r>
      <w:r w:rsidRPr="00EE62F8">
        <w:rPr>
          <w:rFonts w:ascii="Times New Roman" w:hAnsi="Times New Roman"/>
          <w:sz w:val="18"/>
          <w:szCs w:val="18"/>
          <w:lang w:val="en-US"/>
        </w:rPr>
        <w:t xml:space="preserve"> 11(1): 2452.</w:t>
      </w:r>
    </w:p>
    <w:p w14:paraId="239426F5" w14:textId="7DBCCB8D"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GAILANI A., TAYLOR P., 2025, Assessing electricity network capacity for industrial </w:t>
      </w:r>
      <w:proofErr w:type="spellStart"/>
      <w:r w:rsidRPr="00EE62F8">
        <w:rPr>
          <w:rFonts w:ascii="Times New Roman" w:hAnsi="Times New Roman"/>
          <w:sz w:val="18"/>
          <w:szCs w:val="18"/>
          <w:lang w:val="en-US"/>
        </w:rPr>
        <w:t>decarbonisation</w:t>
      </w:r>
      <w:proofErr w:type="spellEnd"/>
      <w:r w:rsidRPr="00EE62F8">
        <w:rPr>
          <w:rFonts w:ascii="Times New Roman" w:hAnsi="Times New Roman"/>
          <w:sz w:val="18"/>
          <w:szCs w:val="18"/>
          <w:lang w:val="en-US"/>
        </w:rPr>
        <w:t xml:space="preserve"> in Great Britain, </w:t>
      </w:r>
      <w:r w:rsidRPr="00EE62F8">
        <w:rPr>
          <w:rFonts w:ascii="Times New Roman" w:hAnsi="Times New Roman"/>
          <w:i/>
          <w:sz w:val="18"/>
          <w:szCs w:val="18"/>
          <w:lang w:val="en-US"/>
        </w:rPr>
        <w:t>Energy Policy</w:t>
      </w:r>
      <w:r>
        <w:rPr>
          <w:rFonts w:ascii="Times New Roman" w:hAnsi="Times New Roman"/>
          <w:i/>
          <w:sz w:val="18"/>
          <w:szCs w:val="18"/>
          <w:lang w:val="en-US"/>
        </w:rPr>
        <w:t>,</w:t>
      </w:r>
      <w:r w:rsidRPr="00EE62F8">
        <w:rPr>
          <w:rFonts w:ascii="Times New Roman" w:hAnsi="Times New Roman"/>
          <w:sz w:val="18"/>
          <w:szCs w:val="18"/>
          <w:lang w:val="en-US"/>
        </w:rPr>
        <w:t xml:space="preserve"> 201: 114559.</w:t>
      </w:r>
    </w:p>
    <w:p w14:paraId="05A73FD4" w14:textId="4ED9DB54"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GILS H.C., SCHOLZ Y., PREGGER T., LUCA DE TENA D., 2017, Integrated modeling of variable renewable energy-based power supply in Europe, </w:t>
      </w:r>
      <w:r w:rsidRPr="00EE62F8">
        <w:rPr>
          <w:rFonts w:ascii="Times New Roman" w:hAnsi="Times New Roman"/>
          <w:i/>
          <w:sz w:val="18"/>
          <w:szCs w:val="18"/>
          <w:lang w:val="en-US"/>
        </w:rPr>
        <w:t>Energy</w:t>
      </w:r>
      <w:r>
        <w:rPr>
          <w:rFonts w:ascii="Times New Roman" w:hAnsi="Times New Roman"/>
          <w:i/>
          <w:sz w:val="18"/>
          <w:szCs w:val="18"/>
          <w:lang w:val="en-US"/>
        </w:rPr>
        <w:t>,</w:t>
      </w:r>
      <w:r w:rsidRPr="00EE62F8">
        <w:rPr>
          <w:rFonts w:ascii="Times New Roman" w:hAnsi="Times New Roman"/>
          <w:sz w:val="18"/>
          <w:szCs w:val="18"/>
          <w:lang w:val="en-US"/>
        </w:rPr>
        <w:t xml:space="preserve"> 123: 173–188.</w:t>
      </w:r>
    </w:p>
    <w:p w14:paraId="7C484BAE" w14:textId="16C01024"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GRUBB M., DRUMMOND P., HUGHES N., 2022, Delivering industrial decarbonization: Net-zero and the transformation of heavy industry, </w:t>
      </w:r>
      <w:r w:rsidRPr="00EE62F8">
        <w:rPr>
          <w:rFonts w:ascii="Times New Roman" w:hAnsi="Times New Roman"/>
          <w:i/>
          <w:sz w:val="18"/>
          <w:szCs w:val="18"/>
          <w:lang w:val="en-US"/>
        </w:rPr>
        <w:t>Nature Climate Change</w:t>
      </w:r>
      <w:r>
        <w:rPr>
          <w:rFonts w:ascii="Times New Roman" w:hAnsi="Times New Roman"/>
          <w:i/>
          <w:sz w:val="18"/>
          <w:szCs w:val="18"/>
          <w:lang w:val="en-US"/>
        </w:rPr>
        <w:t>,</w:t>
      </w:r>
      <w:r w:rsidRPr="00EE62F8">
        <w:rPr>
          <w:rFonts w:ascii="Times New Roman" w:hAnsi="Times New Roman"/>
          <w:sz w:val="18"/>
          <w:szCs w:val="18"/>
          <w:lang w:val="en-US"/>
        </w:rPr>
        <w:t xml:space="preserve"> 12(5): 421–429.</w:t>
      </w:r>
    </w:p>
    <w:p w14:paraId="7C8C3DBB" w14:textId="6137FAC2"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HAO X., ZHANG B., XU M., 2022, Cross-sector planning for China’s carbon neutrality: Grid-aware industrial development, </w:t>
      </w:r>
      <w:r w:rsidRPr="00EE62F8">
        <w:rPr>
          <w:rFonts w:ascii="Times New Roman" w:hAnsi="Times New Roman"/>
          <w:i/>
          <w:sz w:val="18"/>
          <w:szCs w:val="18"/>
          <w:lang w:val="en-US"/>
        </w:rPr>
        <w:t>Energy Policy</w:t>
      </w:r>
      <w:r>
        <w:rPr>
          <w:rFonts w:ascii="Times New Roman" w:hAnsi="Times New Roman"/>
          <w:i/>
          <w:sz w:val="18"/>
          <w:szCs w:val="18"/>
          <w:lang w:val="en-US"/>
        </w:rPr>
        <w:t>,</w:t>
      </w:r>
      <w:r w:rsidRPr="00EE62F8">
        <w:rPr>
          <w:rFonts w:ascii="Times New Roman" w:hAnsi="Times New Roman"/>
          <w:sz w:val="18"/>
          <w:szCs w:val="18"/>
          <w:lang w:val="en-US"/>
        </w:rPr>
        <w:t xml:space="preserve"> 165: 112963.</w:t>
      </w:r>
    </w:p>
    <w:p w14:paraId="2B2921F3" w14:textId="14C7F44C"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HASANBEIGI A., PRICE L., LIN E., 2020, </w:t>
      </w:r>
      <w:r w:rsidRPr="00EE62F8">
        <w:rPr>
          <w:rFonts w:ascii="Times New Roman" w:hAnsi="Times New Roman"/>
          <w:i/>
          <w:iCs/>
          <w:sz w:val="18"/>
          <w:szCs w:val="18"/>
          <w:lang w:val="en-US"/>
        </w:rPr>
        <w:t>Technologies for low-carbon industry, Renewable Thermal Collaborative Report</w:t>
      </w:r>
      <w:r w:rsidRPr="00EE62F8">
        <w:rPr>
          <w:rFonts w:ascii="Times New Roman" w:hAnsi="Times New Roman"/>
          <w:sz w:val="18"/>
          <w:szCs w:val="18"/>
          <w:lang w:val="en-US"/>
        </w:rPr>
        <w:t>, https://www.renewablethermal.org.</w:t>
      </w:r>
    </w:p>
    <w:p w14:paraId="64083A39" w14:textId="3D058D53"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INTERNATIONAL ENERGY AGENCY (IEA), 2022, </w:t>
      </w:r>
      <w:r w:rsidRPr="00EE62F8">
        <w:rPr>
          <w:rFonts w:ascii="Times New Roman" w:hAnsi="Times New Roman"/>
          <w:i/>
          <w:iCs/>
          <w:sz w:val="18"/>
          <w:szCs w:val="18"/>
          <w:lang w:val="en-US"/>
        </w:rPr>
        <w:t>The Role of Critical Minerals in Clean Energy Transitions</w:t>
      </w:r>
      <w:r w:rsidRPr="00EE62F8">
        <w:rPr>
          <w:rFonts w:ascii="Times New Roman" w:hAnsi="Times New Roman"/>
          <w:sz w:val="18"/>
          <w:szCs w:val="18"/>
          <w:lang w:val="en-US"/>
        </w:rPr>
        <w:t>, https://www.iea.org.</w:t>
      </w:r>
    </w:p>
    <w:p w14:paraId="2AAE7978" w14:textId="14FB4089"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INTERNATIONAL ENERGY AGENCY (IEA), 2023, </w:t>
      </w:r>
      <w:r w:rsidRPr="00EE62F8">
        <w:rPr>
          <w:rFonts w:ascii="Times New Roman" w:hAnsi="Times New Roman"/>
          <w:i/>
          <w:iCs/>
          <w:sz w:val="18"/>
          <w:szCs w:val="18"/>
          <w:lang w:val="en-US"/>
        </w:rPr>
        <w:t>Global Energy Review 2023</w:t>
      </w:r>
      <w:r w:rsidRPr="00EE62F8">
        <w:rPr>
          <w:rFonts w:ascii="Times New Roman" w:hAnsi="Times New Roman"/>
          <w:sz w:val="18"/>
          <w:szCs w:val="18"/>
          <w:lang w:val="en-US"/>
        </w:rPr>
        <w:t>, https://www.iea.org/reports/global-energy-review-2023.</w:t>
      </w:r>
    </w:p>
    <w:p w14:paraId="0276C57E" w14:textId="7E361FB1"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INTERNATIONAL ENERGY AGENCY (IEA), 2023b, </w:t>
      </w:r>
      <w:r w:rsidRPr="00EE62F8">
        <w:rPr>
          <w:rFonts w:ascii="Times New Roman" w:hAnsi="Times New Roman"/>
          <w:i/>
          <w:iCs/>
          <w:sz w:val="18"/>
          <w:szCs w:val="18"/>
          <w:lang w:val="en-US"/>
        </w:rPr>
        <w:t>Electrification of Industry: Pathways and Impacts,</w:t>
      </w:r>
      <w:r w:rsidRPr="00EE62F8">
        <w:rPr>
          <w:rFonts w:ascii="Times New Roman" w:hAnsi="Times New Roman"/>
          <w:sz w:val="18"/>
          <w:szCs w:val="18"/>
          <w:lang w:val="en-US"/>
        </w:rPr>
        <w:t xml:space="preserve"> https://</w:t>
      </w:r>
      <w:r w:rsidR="00FA4336">
        <w:rPr>
          <w:rFonts w:ascii="Times New Roman" w:hAnsi="Times New Roman"/>
          <w:sz w:val="18"/>
          <w:szCs w:val="18"/>
          <w:lang w:val="en-US"/>
        </w:rPr>
        <w:t xml:space="preserve"> </w:t>
      </w:r>
      <w:r w:rsidRPr="00EE62F8">
        <w:rPr>
          <w:rFonts w:ascii="Times New Roman" w:hAnsi="Times New Roman"/>
          <w:sz w:val="18"/>
          <w:szCs w:val="18"/>
          <w:lang w:val="en-US"/>
        </w:rPr>
        <w:t>www.iea.org/reports/electrification-in-industry.</w:t>
      </w:r>
    </w:p>
    <w:p w14:paraId="21831E89" w14:textId="3B9BE1D5"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JIN L., ZHAO X., LI F., 2023, Modeling China’s low-carbon energy system, </w:t>
      </w:r>
      <w:r w:rsidRPr="00EE62F8">
        <w:rPr>
          <w:rFonts w:ascii="Times New Roman" w:hAnsi="Times New Roman"/>
          <w:i/>
          <w:sz w:val="18"/>
          <w:szCs w:val="18"/>
          <w:lang w:val="en-US"/>
        </w:rPr>
        <w:t>Applied Energy</w:t>
      </w:r>
      <w:r>
        <w:rPr>
          <w:rFonts w:ascii="Times New Roman" w:hAnsi="Times New Roman"/>
          <w:i/>
          <w:sz w:val="18"/>
          <w:szCs w:val="18"/>
          <w:lang w:val="en-US"/>
        </w:rPr>
        <w:t>,</w:t>
      </w:r>
      <w:r w:rsidRPr="00EE62F8">
        <w:rPr>
          <w:rFonts w:ascii="Times New Roman" w:hAnsi="Times New Roman"/>
          <w:sz w:val="18"/>
          <w:szCs w:val="18"/>
          <w:lang w:val="en-US"/>
        </w:rPr>
        <w:t xml:space="preserve"> 333: 120625.</w:t>
      </w:r>
    </w:p>
    <w:p w14:paraId="3E37243F" w14:textId="66337DCC"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LECHTENBÖHMER S., FISCHEDICK M., SAMADI S., WANG Y., 2018, Energy intensive industries: Transitioning towards a low-carbon future, </w:t>
      </w:r>
      <w:r w:rsidRPr="00EE62F8">
        <w:rPr>
          <w:rFonts w:ascii="Times New Roman" w:hAnsi="Times New Roman"/>
          <w:i/>
          <w:sz w:val="18"/>
          <w:szCs w:val="18"/>
          <w:lang w:val="en-US"/>
        </w:rPr>
        <w:t>Energy Research &amp; Social Science</w:t>
      </w:r>
      <w:r>
        <w:rPr>
          <w:rFonts w:ascii="Times New Roman" w:hAnsi="Times New Roman"/>
          <w:i/>
          <w:sz w:val="18"/>
          <w:szCs w:val="18"/>
          <w:lang w:val="en-US"/>
        </w:rPr>
        <w:t>,</w:t>
      </w:r>
      <w:r w:rsidRPr="00EE62F8">
        <w:rPr>
          <w:rFonts w:ascii="Times New Roman" w:hAnsi="Times New Roman"/>
          <w:sz w:val="18"/>
          <w:szCs w:val="18"/>
          <w:lang w:val="en-US"/>
        </w:rPr>
        <w:t xml:space="preserve"> 40: 122–134.</w:t>
      </w:r>
    </w:p>
    <w:p w14:paraId="64765163" w14:textId="606DD7A5"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LECHTENBÖHMER S., NILSSON L.J., ÅHMAN M., SCHNEIDER C., 2016, </w:t>
      </w:r>
      <w:proofErr w:type="spellStart"/>
      <w:r w:rsidRPr="00EE62F8">
        <w:rPr>
          <w:rFonts w:ascii="Times New Roman" w:hAnsi="Times New Roman"/>
          <w:sz w:val="18"/>
          <w:szCs w:val="18"/>
          <w:lang w:val="en-US"/>
        </w:rPr>
        <w:t>Decarbonising</w:t>
      </w:r>
      <w:proofErr w:type="spellEnd"/>
      <w:r w:rsidRPr="00EE62F8">
        <w:rPr>
          <w:rFonts w:ascii="Times New Roman" w:hAnsi="Times New Roman"/>
          <w:sz w:val="18"/>
          <w:szCs w:val="18"/>
          <w:lang w:val="en-US"/>
        </w:rPr>
        <w:t xml:space="preserve"> the energy intensive basic materials industry through electrification: Implications for future EU electricity demand, </w:t>
      </w:r>
      <w:r w:rsidRPr="00EE62F8">
        <w:rPr>
          <w:rFonts w:ascii="Times New Roman" w:hAnsi="Times New Roman"/>
          <w:i/>
          <w:sz w:val="18"/>
          <w:szCs w:val="18"/>
          <w:lang w:val="en-US"/>
        </w:rPr>
        <w:t>Energy</w:t>
      </w:r>
      <w:r>
        <w:rPr>
          <w:rFonts w:ascii="Times New Roman" w:hAnsi="Times New Roman"/>
          <w:i/>
          <w:sz w:val="18"/>
          <w:szCs w:val="18"/>
          <w:lang w:val="en-US"/>
        </w:rPr>
        <w:t>,</w:t>
      </w:r>
      <w:r w:rsidRPr="00EE62F8">
        <w:rPr>
          <w:rFonts w:ascii="Times New Roman" w:hAnsi="Times New Roman"/>
          <w:sz w:val="18"/>
          <w:szCs w:val="18"/>
          <w:lang w:val="en-US"/>
        </w:rPr>
        <w:t xml:space="preserve"> 115: 1623–1631.</w:t>
      </w:r>
    </w:p>
    <w:p w14:paraId="2A1D2E44" w14:textId="70F6BB4A"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LI Y., GAO X., 2022, Spatial mismatch between cement production and grid readiness in China, </w:t>
      </w:r>
      <w:r w:rsidRPr="00EE62F8">
        <w:rPr>
          <w:rFonts w:ascii="Times New Roman" w:hAnsi="Times New Roman"/>
          <w:i/>
          <w:sz w:val="18"/>
          <w:szCs w:val="18"/>
          <w:lang w:val="en-US"/>
        </w:rPr>
        <w:t>Journal of Cleaner Production</w:t>
      </w:r>
      <w:r>
        <w:rPr>
          <w:rFonts w:ascii="Times New Roman" w:hAnsi="Times New Roman"/>
          <w:i/>
          <w:sz w:val="18"/>
          <w:szCs w:val="18"/>
          <w:lang w:val="en-US"/>
        </w:rPr>
        <w:t>,</w:t>
      </w:r>
      <w:r w:rsidRPr="00EE62F8">
        <w:rPr>
          <w:rFonts w:ascii="Times New Roman" w:hAnsi="Times New Roman"/>
          <w:sz w:val="18"/>
          <w:szCs w:val="18"/>
          <w:lang w:val="en-US"/>
        </w:rPr>
        <w:t xml:space="preserve"> 351: 131518.</w:t>
      </w:r>
    </w:p>
    <w:p w14:paraId="3C849E60" w14:textId="447C0ABB"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LIN B., XIE C., 2022, Infrastructure readiness and industrial electrification in China, </w:t>
      </w:r>
      <w:r w:rsidRPr="00EE62F8">
        <w:rPr>
          <w:rFonts w:ascii="Times New Roman" w:hAnsi="Times New Roman"/>
          <w:i/>
          <w:sz w:val="18"/>
          <w:szCs w:val="18"/>
          <w:lang w:val="en-US"/>
        </w:rPr>
        <w:t>Renewable and Sustainable Energy Reviews</w:t>
      </w:r>
      <w:r>
        <w:rPr>
          <w:rFonts w:ascii="Times New Roman" w:hAnsi="Times New Roman"/>
          <w:i/>
          <w:sz w:val="18"/>
          <w:szCs w:val="18"/>
          <w:lang w:val="en-US"/>
        </w:rPr>
        <w:t>,</w:t>
      </w:r>
      <w:r w:rsidRPr="00EE62F8">
        <w:rPr>
          <w:rFonts w:ascii="Times New Roman" w:hAnsi="Times New Roman"/>
          <w:sz w:val="18"/>
          <w:szCs w:val="18"/>
          <w:lang w:val="en-US"/>
        </w:rPr>
        <w:t xml:space="preserve"> 156: 111945.</w:t>
      </w:r>
    </w:p>
    <w:p w14:paraId="46BCA124" w14:textId="65B483B8"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LIU Q., ZHANG S., DENG Y., 2021, National energy policy and transmission constraints in China, </w:t>
      </w:r>
      <w:r w:rsidRPr="00EE62F8">
        <w:rPr>
          <w:rFonts w:ascii="Times New Roman" w:hAnsi="Times New Roman"/>
          <w:i/>
          <w:sz w:val="18"/>
          <w:szCs w:val="18"/>
          <w:lang w:val="en-US"/>
        </w:rPr>
        <w:t>Energy Research &amp; Social Science</w:t>
      </w:r>
      <w:r>
        <w:rPr>
          <w:rFonts w:ascii="Times New Roman" w:hAnsi="Times New Roman"/>
          <w:i/>
          <w:sz w:val="18"/>
          <w:szCs w:val="18"/>
          <w:lang w:val="en-US"/>
        </w:rPr>
        <w:t>,</w:t>
      </w:r>
      <w:r w:rsidRPr="00EE62F8">
        <w:rPr>
          <w:rFonts w:ascii="Times New Roman" w:hAnsi="Times New Roman"/>
          <w:sz w:val="18"/>
          <w:szCs w:val="18"/>
          <w:lang w:val="en-US"/>
        </w:rPr>
        <w:t xml:space="preserve"> 81: 102260.</w:t>
      </w:r>
    </w:p>
    <w:p w14:paraId="4D7EBADE" w14:textId="592E173D"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LIU Y., WEI Y., ZHANG K., 2022, Industrial emissions and decarbonization in China, </w:t>
      </w:r>
      <w:r w:rsidRPr="00EE62F8">
        <w:rPr>
          <w:rFonts w:ascii="Times New Roman" w:hAnsi="Times New Roman"/>
          <w:i/>
          <w:sz w:val="18"/>
          <w:szCs w:val="18"/>
          <w:lang w:val="en-US"/>
        </w:rPr>
        <w:t>Journal of Cleaner Production</w:t>
      </w:r>
      <w:r>
        <w:rPr>
          <w:rFonts w:ascii="Times New Roman" w:hAnsi="Times New Roman"/>
          <w:i/>
          <w:sz w:val="18"/>
          <w:szCs w:val="18"/>
          <w:lang w:val="en-US"/>
        </w:rPr>
        <w:t>,</w:t>
      </w:r>
      <w:r w:rsidRPr="00EE62F8">
        <w:rPr>
          <w:rFonts w:ascii="Times New Roman" w:hAnsi="Times New Roman"/>
          <w:sz w:val="18"/>
          <w:szCs w:val="18"/>
          <w:lang w:val="en-US"/>
        </w:rPr>
        <w:t xml:space="preserve"> 354: 131632.</w:t>
      </w:r>
    </w:p>
    <w:p w14:paraId="11D3B9DB" w14:textId="583E607E"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LIU Z., XU Y., ZHANG Y., 2021, Regional analysis of China’s electricity network, </w:t>
      </w:r>
      <w:r w:rsidRPr="00EE62F8">
        <w:rPr>
          <w:rFonts w:ascii="Times New Roman" w:hAnsi="Times New Roman"/>
          <w:i/>
          <w:sz w:val="18"/>
          <w:szCs w:val="18"/>
          <w:lang w:val="en-US"/>
        </w:rPr>
        <w:t>Energy Policy</w:t>
      </w:r>
      <w:r>
        <w:rPr>
          <w:rFonts w:ascii="Times New Roman" w:hAnsi="Times New Roman"/>
          <w:i/>
          <w:sz w:val="18"/>
          <w:szCs w:val="18"/>
          <w:lang w:val="en-US"/>
        </w:rPr>
        <w:t>,</w:t>
      </w:r>
      <w:r w:rsidRPr="00EE62F8">
        <w:rPr>
          <w:rFonts w:ascii="Times New Roman" w:hAnsi="Times New Roman"/>
          <w:sz w:val="18"/>
          <w:szCs w:val="18"/>
          <w:lang w:val="en-US"/>
        </w:rPr>
        <w:t xml:space="preserve"> 153: 112254.</w:t>
      </w:r>
    </w:p>
    <w:p w14:paraId="028DCCEC" w14:textId="6C0899BD"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LUDERER G., MADEDDU S., UECKERDT F., 2021, Electrification of industry and its role in deep decarbonization, </w:t>
      </w:r>
      <w:r w:rsidRPr="00EE62F8">
        <w:rPr>
          <w:rFonts w:ascii="Times New Roman" w:hAnsi="Times New Roman"/>
          <w:i/>
          <w:sz w:val="18"/>
          <w:szCs w:val="18"/>
          <w:lang w:val="en-US"/>
        </w:rPr>
        <w:t>Nature Energy</w:t>
      </w:r>
      <w:r>
        <w:rPr>
          <w:rFonts w:ascii="Times New Roman" w:hAnsi="Times New Roman"/>
          <w:i/>
          <w:sz w:val="18"/>
          <w:szCs w:val="18"/>
          <w:lang w:val="en-US"/>
        </w:rPr>
        <w:t>,</w:t>
      </w:r>
      <w:r w:rsidRPr="00EE62F8">
        <w:rPr>
          <w:rFonts w:ascii="Times New Roman" w:hAnsi="Times New Roman"/>
          <w:sz w:val="18"/>
          <w:szCs w:val="18"/>
          <w:lang w:val="en-US"/>
        </w:rPr>
        <w:t xml:space="preserve"> 6: 579–590.</w:t>
      </w:r>
    </w:p>
    <w:p w14:paraId="14FB1C5B" w14:textId="20FECAF1"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MADEDDU S., UECKERDT F., PEHL M., PETERSEIM J., LORD M., KUMAR A., LUDERER G., 2020, The CO₂ reduction potential for the European industry via direct electrification of heat supply, </w:t>
      </w:r>
      <w:r w:rsidRPr="00EE62F8">
        <w:rPr>
          <w:rFonts w:ascii="Times New Roman" w:hAnsi="Times New Roman"/>
          <w:i/>
          <w:sz w:val="18"/>
          <w:szCs w:val="18"/>
          <w:lang w:val="en-US"/>
        </w:rPr>
        <w:t>Environmental Research Letters</w:t>
      </w:r>
      <w:r>
        <w:rPr>
          <w:rFonts w:ascii="Times New Roman" w:hAnsi="Times New Roman"/>
          <w:i/>
          <w:sz w:val="18"/>
          <w:szCs w:val="18"/>
          <w:lang w:val="en-US"/>
        </w:rPr>
        <w:t>,</w:t>
      </w:r>
      <w:r w:rsidRPr="00EE62F8">
        <w:rPr>
          <w:rFonts w:ascii="Times New Roman" w:hAnsi="Times New Roman"/>
          <w:sz w:val="18"/>
          <w:szCs w:val="18"/>
          <w:lang w:val="en-US"/>
        </w:rPr>
        <w:t xml:space="preserve"> 15(12): 124004.</w:t>
      </w:r>
    </w:p>
    <w:p w14:paraId="007B7F65" w14:textId="69BC4CF3"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MI Z., WANG S., GUAN D., 2023, China’s industrial emissions and pathways toward carbon neutrality, </w:t>
      </w:r>
      <w:r w:rsidRPr="00EE62F8">
        <w:rPr>
          <w:rFonts w:ascii="Times New Roman" w:hAnsi="Times New Roman"/>
          <w:i/>
          <w:sz w:val="18"/>
          <w:szCs w:val="18"/>
          <w:lang w:val="en-US"/>
        </w:rPr>
        <w:t>One Earth</w:t>
      </w:r>
      <w:r>
        <w:rPr>
          <w:rFonts w:ascii="Times New Roman" w:hAnsi="Times New Roman"/>
          <w:i/>
          <w:sz w:val="18"/>
          <w:szCs w:val="18"/>
          <w:lang w:val="en-US"/>
        </w:rPr>
        <w:t>,</w:t>
      </w:r>
      <w:r w:rsidRPr="00EE62F8">
        <w:rPr>
          <w:rFonts w:ascii="Times New Roman" w:hAnsi="Times New Roman"/>
          <w:sz w:val="18"/>
          <w:szCs w:val="18"/>
          <w:lang w:val="en-US"/>
        </w:rPr>
        <w:t xml:space="preserve"> 6(1): 56–70.</w:t>
      </w:r>
    </w:p>
    <w:p w14:paraId="1CD2EFE1" w14:textId="44171A6C"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MINISTRY OF INDUSTRY AND INFORMATION TECHNOLOGY, 2022, </w:t>
      </w:r>
      <w:r w:rsidRPr="00EE62F8">
        <w:rPr>
          <w:rFonts w:ascii="Times New Roman" w:hAnsi="Times New Roman"/>
          <w:i/>
          <w:iCs/>
          <w:sz w:val="18"/>
          <w:szCs w:val="18"/>
          <w:lang w:val="en-US"/>
        </w:rPr>
        <w:t>Industrial Green Development Plan (2022–2025)</w:t>
      </w:r>
      <w:r w:rsidRPr="00EE62F8">
        <w:rPr>
          <w:rFonts w:ascii="Times New Roman" w:hAnsi="Times New Roman"/>
          <w:sz w:val="18"/>
          <w:szCs w:val="18"/>
          <w:lang w:val="en-US"/>
        </w:rPr>
        <w:t>, http://www.miit.gov.cn.</w:t>
      </w:r>
    </w:p>
    <w:p w14:paraId="63494854" w14:textId="3E519225"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NATIONAL CLIMATE STRATEGY CENTER, 2022, </w:t>
      </w:r>
      <w:r w:rsidRPr="00EE62F8">
        <w:rPr>
          <w:rFonts w:ascii="Times New Roman" w:hAnsi="Times New Roman"/>
          <w:i/>
          <w:iCs/>
          <w:sz w:val="18"/>
          <w:szCs w:val="18"/>
          <w:lang w:val="en-US"/>
        </w:rPr>
        <w:t>China Carbon Peaking and Neutrality Outlook Report</w:t>
      </w:r>
      <w:r w:rsidRPr="00EE62F8">
        <w:rPr>
          <w:rFonts w:ascii="Times New Roman" w:hAnsi="Times New Roman"/>
          <w:sz w:val="18"/>
          <w:szCs w:val="18"/>
          <w:lang w:val="en-US"/>
        </w:rPr>
        <w:t>, NCSC Publications, Beijing.</w:t>
      </w:r>
    </w:p>
    <w:p w14:paraId="0D68AFB3" w14:textId="22B59B00"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NATIONAL DEVELOPMENT AND REFORM COMMISSION, 2021, </w:t>
      </w:r>
      <w:r w:rsidRPr="00EE62F8">
        <w:rPr>
          <w:rFonts w:ascii="Times New Roman" w:hAnsi="Times New Roman"/>
          <w:i/>
          <w:iCs/>
          <w:sz w:val="18"/>
          <w:szCs w:val="18"/>
          <w:lang w:val="en-US"/>
        </w:rPr>
        <w:t>Outline of the 14th Five-Year Plan</w:t>
      </w:r>
      <w:r w:rsidRPr="00EE62F8">
        <w:rPr>
          <w:rFonts w:ascii="Times New Roman" w:hAnsi="Times New Roman"/>
          <w:sz w:val="18"/>
          <w:szCs w:val="18"/>
          <w:lang w:val="en-US"/>
        </w:rPr>
        <w:t>, http://www.ndrc.gov.cn.</w:t>
      </w:r>
    </w:p>
    <w:p w14:paraId="0429147D" w14:textId="7BD43F8A"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NATIONAL ENERGY ADMINISTRATION, 2023, </w:t>
      </w:r>
      <w:r w:rsidRPr="00EE62F8">
        <w:rPr>
          <w:rFonts w:ascii="Times New Roman" w:hAnsi="Times New Roman"/>
          <w:i/>
          <w:iCs/>
          <w:sz w:val="18"/>
          <w:szCs w:val="18"/>
          <w:lang w:val="en-US"/>
        </w:rPr>
        <w:t>Electricity System Planning Guidance</w:t>
      </w:r>
      <w:r w:rsidRPr="00EE62F8">
        <w:rPr>
          <w:rFonts w:ascii="Times New Roman" w:hAnsi="Times New Roman"/>
          <w:sz w:val="18"/>
          <w:szCs w:val="18"/>
          <w:lang w:val="en-US"/>
        </w:rPr>
        <w:t>, http://www.nea.gov.cn.</w:t>
      </w:r>
    </w:p>
    <w:p w14:paraId="3703A433" w14:textId="6345932A"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REN21, 2023, </w:t>
      </w:r>
      <w:r w:rsidRPr="00EE62F8">
        <w:rPr>
          <w:rFonts w:ascii="Times New Roman" w:hAnsi="Times New Roman"/>
          <w:i/>
          <w:iCs/>
          <w:sz w:val="18"/>
          <w:szCs w:val="18"/>
          <w:lang w:val="en-US"/>
        </w:rPr>
        <w:t>Renewables 2023 Global Status Report</w:t>
      </w:r>
      <w:r w:rsidRPr="00EE62F8">
        <w:rPr>
          <w:rFonts w:ascii="Times New Roman" w:hAnsi="Times New Roman"/>
          <w:sz w:val="18"/>
          <w:szCs w:val="18"/>
          <w:lang w:val="en-US"/>
        </w:rPr>
        <w:t>, https://www.ren21.net/reports/global-status-report/.</w:t>
      </w:r>
    </w:p>
    <w:p w14:paraId="21BF197D" w14:textId="46A118F8"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ROGELJ J., SHINDELL D., JIANG K., FIFITA S., FORSTER P., GINZBURG V., VILARINO M.V., 2021, Mitigation pathways compatible with 1.5°C, </w:t>
      </w:r>
      <w:r w:rsidRPr="00EE62F8">
        <w:rPr>
          <w:rFonts w:ascii="Times New Roman" w:hAnsi="Times New Roman"/>
          <w:i/>
          <w:iCs/>
          <w:sz w:val="18"/>
          <w:szCs w:val="18"/>
          <w:lang w:val="en-US"/>
        </w:rPr>
        <w:t>IPCC Special Report on Global Warming of 1.5°C.</w:t>
      </w:r>
    </w:p>
    <w:p w14:paraId="3B418589" w14:textId="2D47BDF5"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SOVACOOL B.K., GRIFFITHS S., KIM J., BAZILIAN M., 2021, Climate change and industrial decarbonization: Toward a just transition, </w:t>
      </w:r>
      <w:r w:rsidRPr="00EE62F8">
        <w:rPr>
          <w:rFonts w:ascii="Times New Roman" w:hAnsi="Times New Roman"/>
          <w:i/>
          <w:sz w:val="18"/>
          <w:szCs w:val="18"/>
          <w:lang w:val="en-US"/>
        </w:rPr>
        <w:t>Energy Research &amp; Social Science</w:t>
      </w:r>
      <w:r>
        <w:rPr>
          <w:rFonts w:ascii="Times New Roman" w:hAnsi="Times New Roman"/>
          <w:i/>
          <w:sz w:val="18"/>
          <w:szCs w:val="18"/>
          <w:lang w:val="en-US"/>
        </w:rPr>
        <w:t>,</w:t>
      </w:r>
      <w:r w:rsidRPr="00EE62F8">
        <w:rPr>
          <w:rFonts w:ascii="Times New Roman" w:hAnsi="Times New Roman"/>
          <w:sz w:val="18"/>
          <w:szCs w:val="18"/>
          <w:lang w:val="en-US"/>
        </w:rPr>
        <w:t xml:space="preserve"> 70: 101774.</w:t>
      </w:r>
    </w:p>
    <w:p w14:paraId="5BACAA4A" w14:textId="6C79BB16"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STATE GRID CORPORATION OF CHINA, 2023, </w:t>
      </w:r>
      <w:r w:rsidRPr="00EE62F8">
        <w:rPr>
          <w:rFonts w:ascii="Times New Roman" w:hAnsi="Times New Roman"/>
          <w:i/>
          <w:iCs/>
          <w:sz w:val="18"/>
          <w:szCs w:val="18"/>
          <w:lang w:val="en-US"/>
        </w:rPr>
        <w:t>Grid Capacity Planning Report to 2035,</w:t>
      </w:r>
      <w:r w:rsidRPr="00EE62F8">
        <w:rPr>
          <w:rFonts w:ascii="Times New Roman" w:hAnsi="Times New Roman"/>
          <w:sz w:val="18"/>
          <w:szCs w:val="18"/>
          <w:lang w:val="en-US"/>
        </w:rPr>
        <w:t xml:space="preserve"> Beijing, SGCC.</w:t>
      </w:r>
    </w:p>
    <w:p w14:paraId="0A0DCAB4" w14:textId="4E7C3A20"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STATE GRID CORPORATION OF CHINA, 2023, </w:t>
      </w:r>
      <w:r w:rsidRPr="00EE62F8">
        <w:rPr>
          <w:rFonts w:ascii="Times New Roman" w:hAnsi="Times New Roman"/>
          <w:i/>
          <w:iCs/>
          <w:sz w:val="18"/>
          <w:szCs w:val="18"/>
          <w:lang w:val="en-US"/>
        </w:rPr>
        <w:t>Grid Development Outlook to 2035</w:t>
      </w:r>
      <w:r w:rsidRPr="00EE62F8">
        <w:rPr>
          <w:rFonts w:ascii="Times New Roman" w:hAnsi="Times New Roman"/>
          <w:sz w:val="18"/>
          <w:szCs w:val="18"/>
          <w:lang w:val="en-US"/>
        </w:rPr>
        <w:t>, http://www.sgcc.com.cn.</w:t>
      </w:r>
    </w:p>
    <w:p w14:paraId="4E260B7E" w14:textId="344F2E01"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TANG Y., ZHOU D., LI J., 2021, Smart grid development and sectoral coordination for deep decarbonization, </w:t>
      </w:r>
      <w:r w:rsidRPr="00EE62F8">
        <w:rPr>
          <w:rFonts w:ascii="Times New Roman" w:hAnsi="Times New Roman"/>
          <w:i/>
          <w:sz w:val="18"/>
          <w:szCs w:val="18"/>
          <w:lang w:val="en-US"/>
        </w:rPr>
        <w:t>Energy Strategy Reviews</w:t>
      </w:r>
      <w:r>
        <w:rPr>
          <w:rFonts w:ascii="Times New Roman" w:hAnsi="Times New Roman"/>
          <w:i/>
          <w:sz w:val="18"/>
          <w:szCs w:val="18"/>
          <w:lang w:val="en-US"/>
        </w:rPr>
        <w:t>,</w:t>
      </w:r>
      <w:r w:rsidRPr="00EE62F8">
        <w:rPr>
          <w:rFonts w:ascii="Times New Roman" w:hAnsi="Times New Roman"/>
          <w:sz w:val="18"/>
          <w:szCs w:val="18"/>
          <w:lang w:val="en-US"/>
        </w:rPr>
        <w:t xml:space="preserve"> 38: 100734.</w:t>
      </w:r>
    </w:p>
    <w:p w14:paraId="2493D224" w14:textId="7D6AB51F"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lastRenderedPageBreak/>
        <w:t xml:space="preserve">UNITED NATIONS ENVIRONMENT PROGRAMME (UNEP), 2023, </w:t>
      </w:r>
      <w:r w:rsidRPr="00EE62F8">
        <w:rPr>
          <w:rFonts w:ascii="Times New Roman" w:hAnsi="Times New Roman"/>
          <w:i/>
          <w:iCs/>
          <w:sz w:val="18"/>
          <w:szCs w:val="18"/>
          <w:lang w:val="en-US"/>
        </w:rPr>
        <w:t>Emissions Gap Report 2023,</w:t>
      </w:r>
      <w:r w:rsidRPr="00EE62F8">
        <w:rPr>
          <w:rFonts w:ascii="Times New Roman" w:hAnsi="Times New Roman"/>
          <w:sz w:val="18"/>
          <w:szCs w:val="18"/>
          <w:lang w:val="en-US"/>
        </w:rPr>
        <w:t xml:space="preserve"> https://</w:t>
      </w:r>
      <w:r w:rsidR="00FA4336">
        <w:rPr>
          <w:rFonts w:ascii="Times New Roman" w:hAnsi="Times New Roman"/>
          <w:sz w:val="18"/>
          <w:szCs w:val="18"/>
          <w:lang w:val="en-US"/>
        </w:rPr>
        <w:t xml:space="preserve"> </w:t>
      </w:r>
      <w:r w:rsidRPr="00EE62F8">
        <w:rPr>
          <w:rFonts w:ascii="Times New Roman" w:hAnsi="Times New Roman"/>
          <w:sz w:val="18"/>
          <w:szCs w:val="18"/>
          <w:lang w:val="en-US"/>
        </w:rPr>
        <w:t>www.unep.org.</w:t>
      </w:r>
    </w:p>
    <w:p w14:paraId="55F18219" w14:textId="5CA4B993"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VICTORIA M., ZHU K., BROWN T., ANDRESEN G.B., GREINER M., 2020, Early decarbonization of the European energy system pays off, </w:t>
      </w:r>
      <w:r w:rsidRPr="00EE62F8">
        <w:rPr>
          <w:rFonts w:ascii="Times New Roman" w:hAnsi="Times New Roman"/>
          <w:i/>
          <w:sz w:val="18"/>
          <w:szCs w:val="18"/>
          <w:lang w:val="en-US"/>
        </w:rPr>
        <w:t>Nature Communications</w:t>
      </w:r>
      <w:r>
        <w:rPr>
          <w:rFonts w:ascii="Times New Roman" w:hAnsi="Times New Roman"/>
          <w:i/>
          <w:sz w:val="18"/>
          <w:szCs w:val="18"/>
          <w:lang w:val="en-US"/>
        </w:rPr>
        <w:t>,</w:t>
      </w:r>
      <w:r w:rsidRPr="00EE62F8">
        <w:rPr>
          <w:rFonts w:ascii="Times New Roman" w:hAnsi="Times New Roman"/>
          <w:sz w:val="18"/>
          <w:szCs w:val="18"/>
          <w:lang w:val="en-US"/>
        </w:rPr>
        <w:t xml:space="preserve"> 11: 6223.</w:t>
      </w:r>
    </w:p>
    <w:p w14:paraId="2D18DCD0" w14:textId="367014BE"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WANG F., ZHANG X., LI H., 2023, Grid development gaps for industrial decarbonization in China, </w:t>
      </w:r>
      <w:r w:rsidRPr="00EE62F8">
        <w:rPr>
          <w:rFonts w:ascii="Times New Roman" w:hAnsi="Times New Roman"/>
          <w:i/>
          <w:sz w:val="18"/>
          <w:szCs w:val="18"/>
          <w:lang w:val="en-US"/>
        </w:rPr>
        <w:t>Applied Energy</w:t>
      </w:r>
      <w:r>
        <w:rPr>
          <w:rFonts w:ascii="Times New Roman" w:hAnsi="Times New Roman"/>
          <w:i/>
          <w:sz w:val="18"/>
          <w:szCs w:val="18"/>
          <w:lang w:val="en-US"/>
        </w:rPr>
        <w:t>,</w:t>
      </w:r>
      <w:r w:rsidRPr="00EE62F8">
        <w:rPr>
          <w:rFonts w:ascii="Times New Roman" w:hAnsi="Times New Roman"/>
          <w:sz w:val="18"/>
          <w:szCs w:val="18"/>
          <w:lang w:val="en-US"/>
        </w:rPr>
        <w:t xml:space="preserve"> 341: 120800.</w:t>
      </w:r>
    </w:p>
    <w:p w14:paraId="2DDBE856" w14:textId="04D89CC9"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WANG Q., LIN B., 2020, Transitioning China’s industry: Energy efficiency and CO</w:t>
      </w:r>
      <w:r w:rsidRPr="00FA4336">
        <w:rPr>
          <w:rFonts w:ascii="Times New Roman" w:hAnsi="Times New Roman"/>
          <w:sz w:val="18"/>
          <w:szCs w:val="18"/>
          <w:vertAlign w:val="subscript"/>
          <w:lang w:val="en-US"/>
        </w:rPr>
        <w:t>2</w:t>
      </w:r>
      <w:r w:rsidRPr="00EE62F8">
        <w:rPr>
          <w:rFonts w:ascii="Times New Roman" w:hAnsi="Times New Roman"/>
          <w:sz w:val="18"/>
          <w:szCs w:val="18"/>
          <w:lang w:val="en-US"/>
        </w:rPr>
        <w:t xml:space="preserve">, </w:t>
      </w:r>
      <w:r w:rsidRPr="00EE62F8">
        <w:rPr>
          <w:rFonts w:ascii="Times New Roman" w:hAnsi="Times New Roman"/>
          <w:i/>
          <w:sz w:val="18"/>
          <w:szCs w:val="18"/>
          <w:lang w:val="en-US"/>
        </w:rPr>
        <w:t>Energy Economics</w:t>
      </w:r>
      <w:r>
        <w:rPr>
          <w:rFonts w:ascii="Times New Roman" w:hAnsi="Times New Roman"/>
          <w:i/>
          <w:sz w:val="18"/>
          <w:szCs w:val="18"/>
          <w:lang w:val="en-US"/>
        </w:rPr>
        <w:t>,</w:t>
      </w:r>
      <w:r w:rsidRPr="00EE62F8">
        <w:rPr>
          <w:rFonts w:ascii="Times New Roman" w:hAnsi="Times New Roman"/>
          <w:sz w:val="18"/>
          <w:szCs w:val="18"/>
          <w:lang w:val="en-US"/>
        </w:rPr>
        <w:t xml:space="preserve"> 87: 104743.</w:t>
      </w:r>
    </w:p>
    <w:p w14:paraId="686CFDBC" w14:textId="050383BF"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WANG X., ZHOU S., ZHAO J., 2021, Mapping regional electricity network readiness for industrial decarbonization in China, </w:t>
      </w:r>
      <w:r w:rsidRPr="00EE62F8">
        <w:rPr>
          <w:rFonts w:ascii="Times New Roman" w:hAnsi="Times New Roman"/>
          <w:i/>
          <w:sz w:val="18"/>
          <w:szCs w:val="18"/>
          <w:lang w:val="en-US"/>
        </w:rPr>
        <w:t>Energy Policy</w:t>
      </w:r>
      <w:r>
        <w:rPr>
          <w:rFonts w:ascii="Times New Roman" w:hAnsi="Times New Roman"/>
          <w:i/>
          <w:sz w:val="18"/>
          <w:szCs w:val="18"/>
          <w:lang w:val="en-US"/>
        </w:rPr>
        <w:t>,</w:t>
      </w:r>
      <w:r w:rsidRPr="00EE62F8">
        <w:rPr>
          <w:rFonts w:ascii="Times New Roman" w:hAnsi="Times New Roman"/>
          <w:sz w:val="18"/>
          <w:szCs w:val="18"/>
          <w:lang w:val="en-US"/>
        </w:rPr>
        <w:t xml:space="preserve"> 157: 112545.</w:t>
      </w:r>
    </w:p>
    <w:p w14:paraId="384F14FA" w14:textId="72E1D6C1"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WORRELL E., HASANBEIGI A., PRICE L., 2022, Decarbonization options for industry: A review of technologies and policy instruments, </w:t>
      </w:r>
      <w:r w:rsidRPr="00EE62F8">
        <w:rPr>
          <w:rFonts w:ascii="Times New Roman" w:hAnsi="Times New Roman"/>
          <w:i/>
          <w:sz w:val="18"/>
          <w:szCs w:val="18"/>
          <w:lang w:val="en-US"/>
        </w:rPr>
        <w:t>Journal of Industrial Ecology</w:t>
      </w:r>
      <w:r>
        <w:rPr>
          <w:rFonts w:ascii="Times New Roman" w:hAnsi="Times New Roman"/>
          <w:i/>
          <w:sz w:val="18"/>
          <w:szCs w:val="18"/>
          <w:lang w:val="en-US"/>
        </w:rPr>
        <w:t>,</w:t>
      </w:r>
      <w:r w:rsidRPr="00EE62F8">
        <w:rPr>
          <w:rFonts w:ascii="Times New Roman" w:hAnsi="Times New Roman"/>
          <w:sz w:val="18"/>
          <w:szCs w:val="18"/>
          <w:lang w:val="en-US"/>
        </w:rPr>
        <w:t xml:space="preserve"> 26(3): 682–697.</w:t>
      </w:r>
    </w:p>
    <w:p w14:paraId="4CE48214" w14:textId="5CF895EF"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WU J., XU T., 2023, GIS-based optimization for low-carbon industrial zones in China, </w:t>
      </w:r>
      <w:r w:rsidRPr="00EE62F8">
        <w:rPr>
          <w:rFonts w:ascii="Times New Roman" w:hAnsi="Times New Roman"/>
          <w:i/>
          <w:sz w:val="18"/>
          <w:szCs w:val="18"/>
          <w:lang w:val="en-US"/>
        </w:rPr>
        <w:t>Sustainable Cities and Society</w:t>
      </w:r>
      <w:r>
        <w:rPr>
          <w:rFonts w:ascii="Times New Roman" w:hAnsi="Times New Roman"/>
          <w:i/>
          <w:sz w:val="18"/>
          <w:szCs w:val="18"/>
          <w:lang w:val="en-US"/>
        </w:rPr>
        <w:t>,</w:t>
      </w:r>
      <w:r w:rsidRPr="00EE62F8">
        <w:rPr>
          <w:rFonts w:ascii="Times New Roman" w:hAnsi="Times New Roman"/>
          <w:sz w:val="18"/>
          <w:szCs w:val="18"/>
          <w:lang w:val="en-US"/>
        </w:rPr>
        <w:t xml:space="preserve"> 96: 104632.</w:t>
      </w:r>
    </w:p>
    <w:p w14:paraId="755F0923" w14:textId="2A8B95AD"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XINHUA, 2021, </w:t>
      </w:r>
      <w:r w:rsidRPr="00EE62F8">
        <w:rPr>
          <w:rFonts w:ascii="Times New Roman" w:hAnsi="Times New Roman"/>
          <w:i/>
          <w:iCs/>
          <w:sz w:val="18"/>
          <w:szCs w:val="18"/>
          <w:lang w:val="en-US"/>
        </w:rPr>
        <w:t>China aims for carbon neutrality by 2060</w:t>
      </w:r>
      <w:r w:rsidRPr="00EE62F8">
        <w:rPr>
          <w:rFonts w:ascii="Times New Roman" w:hAnsi="Times New Roman"/>
          <w:sz w:val="18"/>
          <w:szCs w:val="18"/>
          <w:lang w:val="en-US"/>
        </w:rPr>
        <w:t>, Xinhua News Agency, http://www.xinhuanet.com.</w:t>
      </w:r>
    </w:p>
    <w:p w14:paraId="59EE75AE" w14:textId="479CDA59"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YU H., ZHANG J., 2022, Electricity transmission in China's decarbonization, </w:t>
      </w:r>
      <w:r w:rsidRPr="00EE62F8">
        <w:rPr>
          <w:rFonts w:ascii="Times New Roman" w:hAnsi="Times New Roman"/>
          <w:i/>
          <w:sz w:val="18"/>
          <w:szCs w:val="18"/>
          <w:lang w:val="en-US"/>
        </w:rPr>
        <w:t>Renewable Energy</w:t>
      </w:r>
      <w:r>
        <w:rPr>
          <w:rFonts w:ascii="Times New Roman" w:hAnsi="Times New Roman"/>
          <w:i/>
          <w:sz w:val="18"/>
          <w:szCs w:val="18"/>
          <w:lang w:val="en-US"/>
        </w:rPr>
        <w:t>,</w:t>
      </w:r>
      <w:r w:rsidRPr="00EE62F8">
        <w:rPr>
          <w:rFonts w:ascii="Times New Roman" w:hAnsi="Times New Roman"/>
          <w:sz w:val="18"/>
          <w:szCs w:val="18"/>
          <w:lang w:val="en-US"/>
        </w:rPr>
        <w:t xml:space="preserve"> 189: 688–702.</w:t>
      </w:r>
    </w:p>
    <w:p w14:paraId="2C2578B1" w14:textId="67717114"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ZHANG D., GALLAGHER K., 2016, China's power sector transition, </w:t>
      </w:r>
      <w:r w:rsidRPr="00EE62F8">
        <w:rPr>
          <w:rFonts w:ascii="Times New Roman" w:hAnsi="Times New Roman"/>
          <w:i/>
          <w:sz w:val="18"/>
          <w:szCs w:val="18"/>
          <w:lang w:val="en-US"/>
        </w:rPr>
        <w:t>Energy Policy</w:t>
      </w:r>
      <w:r>
        <w:rPr>
          <w:rFonts w:ascii="Times New Roman" w:hAnsi="Times New Roman"/>
          <w:i/>
          <w:sz w:val="18"/>
          <w:szCs w:val="18"/>
          <w:lang w:val="en-US"/>
        </w:rPr>
        <w:t>,</w:t>
      </w:r>
      <w:r w:rsidRPr="00EE62F8">
        <w:rPr>
          <w:rFonts w:ascii="Times New Roman" w:hAnsi="Times New Roman"/>
          <w:sz w:val="18"/>
          <w:szCs w:val="18"/>
          <w:lang w:val="en-US"/>
        </w:rPr>
        <w:t xml:space="preserve"> 99: 173–183.</w:t>
      </w:r>
    </w:p>
    <w:p w14:paraId="3493E808" w14:textId="060C09ED"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ZHANG D., LI Y., 2023, Electrification pathways for heavy industry in western China, </w:t>
      </w:r>
      <w:r w:rsidRPr="00EE62F8">
        <w:rPr>
          <w:rFonts w:ascii="Times New Roman" w:hAnsi="Times New Roman"/>
          <w:i/>
          <w:sz w:val="18"/>
          <w:szCs w:val="18"/>
          <w:lang w:val="en-US"/>
        </w:rPr>
        <w:t>Energy Policy</w:t>
      </w:r>
      <w:r>
        <w:rPr>
          <w:rFonts w:ascii="Times New Roman" w:hAnsi="Times New Roman"/>
          <w:i/>
          <w:sz w:val="18"/>
          <w:szCs w:val="18"/>
          <w:lang w:val="en-US"/>
        </w:rPr>
        <w:t>,</w:t>
      </w:r>
      <w:r w:rsidRPr="00EE62F8">
        <w:rPr>
          <w:rFonts w:ascii="Times New Roman" w:hAnsi="Times New Roman"/>
          <w:sz w:val="18"/>
          <w:szCs w:val="18"/>
          <w:lang w:val="en-US"/>
        </w:rPr>
        <w:t xml:space="preserve"> 174: 113393.</w:t>
      </w:r>
    </w:p>
    <w:p w14:paraId="29394A8F" w14:textId="16E56DAA"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ZHANG D., LI Y., 2023, Electrification pathways in Chinese heavy industries, </w:t>
      </w:r>
      <w:r w:rsidRPr="00EE62F8">
        <w:rPr>
          <w:rFonts w:ascii="Times New Roman" w:hAnsi="Times New Roman"/>
          <w:i/>
          <w:sz w:val="18"/>
          <w:szCs w:val="18"/>
          <w:lang w:val="en-US"/>
        </w:rPr>
        <w:t>Applied Energy</w:t>
      </w:r>
      <w:r>
        <w:rPr>
          <w:rFonts w:ascii="Times New Roman" w:hAnsi="Times New Roman"/>
          <w:i/>
          <w:sz w:val="18"/>
          <w:szCs w:val="18"/>
          <w:lang w:val="en-US"/>
        </w:rPr>
        <w:t>,</w:t>
      </w:r>
      <w:r w:rsidRPr="00EE62F8">
        <w:rPr>
          <w:rFonts w:ascii="Times New Roman" w:hAnsi="Times New Roman"/>
          <w:sz w:val="18"/>
          <w:szCs w:val="18"/>
          <w:lang w:val="en-US"/>
        </w:rPr>
        <w:t xml:space="preserve"> 331: 120590.</w:t>
      </w:r>
    </w:p>
    <w:p w14:paraId="15EE06A6" w14:textId="7AACDECF"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ZHANG L., HU Y., ZHOU T., 2022, Provincial electricity demand and supply alignment, </w:t>
      </w:r>
      <w:r w:rsidRPr="00EE62F8">
        <w:rPr>
          <w:rFonts w:ascii="Times New Roman" w:hAnsi="Times New Roman"/>
          <w:i/>
          <w:sz w:val="18"/>
          <w:szCs w:val="18"/>
          <w:lang w:val="en-US"/>
        </w:rPr>
        <w:t>Journal of Energy Systems</w:t>
      </w:r>
      <w:r>
        <w:rPr>
          <w:rFonts w:ascii="Times New Roman" w:hAnsi="Times New Roman"/>
          <w:i/>
          <w:sz w:val="18"/>
          <w:szCs w:val="18"/>
          <w:lang w:val="en-US"/>
        </w:rPr>
        <w:t>,</w:t>
      </w:r>
      <w:r w:rsidRPr="00EE62F8">
        <w:rPr>
          <w:rFonts w:ascii="Times New Roman" w:hAnsi="Times New Roman"/>
          <w:sz w:val="18"/>
          <w:szCs w:val="18"/>
          <w:lang w:val="en-US"/>
        </w:rPr>
        <w:t xml:space="preserve"> 46(2): 128–145.</w:t>
      </w:r>
    </w:p>
    <w:p w14:paraId="6781D8B5" w14:textId="54EC930D"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ZHANG T., ZHOU S., 2021, Electrification of China’s heavy industries: A policy framework, </w:t>
      </w:r>
      <w:r w:rsidRPr="00EE62F8">
        <w:rPr>
          <w:rFonts w:ascii="Times New Roman" w:hAnsi="Times New Roman"/>
          <w:i/>
          <w:sz w:val="18"/>
          <w:szCs w:val="18"/>
          <w:lang w:val="en-US"/>
        </w:rPr>
        <w:t>Energy Economics</w:t>
      </w:r>
      <w:r>
        <w:rPr>
          <w:rFonts w:ascii="Times New Roman" w:hAnsi="Times New Roman"/>
          <w:i/>
          <w:sz w:val="18"/>
          <w:szCs w:val="18"/>
          <w:lang w:val="en-US"/>
        </w:rPr>
        <w:t>,</w:t>
      </w:r>
      <w:r w:rsidRPr="00EE62F8">
        <w:rPr>
          <w:rFonts w:ascii="Times New Roman" w:hAnsi="Times New Roman"/>
          <w:sz w:val="18"/>
          <w:szCs w:val="18"/>
          <w:lang w:val="en-US"/>
        </w:rPr>
        <w:t xml:space="preserve"> 101: 105445.</w:t>
      </w:r>
    </w:p>
    <w:p w14:paraId="7B637FC0" w14:textId="12D22A46"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ZHANG X., LI H., SUN C., 2021, China's dual carbon goals and energy transition, </w:t>
      </w:r>
      <w:r w:rsidRPr="00EE62F8">
        <w:rPr>
          <w:rFonts w:ascii="Times New Roman" w:hAnsi="Times New Roman"/>
          <w:i/>
          <w:sz w:val="18"/>
          <w:szCs w:val="18"/>
          <w:lang w:val="en-US"/>
        </w:rPr>
        <w:t>Energy Policy</w:t>
      </w:r>
      <w:r>
        <w:rPr>
          <w:rFonts w:ascii="Times New Roman" w:hAnsi="Times New Roman"/>
          <w:i/>
          <w:sz w:val="18"/>
          <w:szCs w:val="18"/>
          <w:lang w:val="en-US"/>
        </w:rPr>
        <w:t>,</w:t>
      </w:r>
      <w:r w:rsidRPr="00EE62F8">
        <w:rPr>
          <w:rFonts w:ascii="Times New Roman" w:hAnsi="Times New Roman"/>
          <w:sz w:val="18"/>
          <w:szCs w:val="18"/>
          <w:lang w:val="en-US"/>
        </w:rPr>
        <w:t xml:space="preserve"> 158: 112538.</w:t>
      </w:r>
    </w:p>
    <w:p w14:paraId="3328ED73" w14:textId="23AC7D06" w:rsidR="00EE62F8" w:rsidRP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ZHOU K., ZHAO B., LIN Y., 2022, Mapping electricity infrastructure constraints in China's industrial clusters, </w:t>
      </w:r>
      <w:r w:rsidRPr="00EE62F8">
        <w:rPr>
          <w:rFonts w:ascii="Times New Roman" w:hAnsi="Times New Roman"/>
          <w:i/>
          <w:sz w:val="18"/>
          <w:szCs w:val="18"/>
          <w:lang w:val="en-US"/>
        </w:rPr>
        <w:t>Resources, Conservation and Recycling</w:t>
      </w:r>
      <w:r>
        <w:rPr>
          <w:rFonts w:ascii="Times New Roman" w:hAnsi="Times New Roman"/>
          <w:i/>
          <w:sz w:val="18"/>
          <w:szCs w:val="18"/>
          <w:lang w:val="en-US"/>
        </w:rPr>
        <w:t>,</w:t>
      </w:r>
      <w:r w:rsidRPr="00EE62F8">
        <w:rPr>
          <w:rFonts w:ascii="Times New Roman" w:hAnsi="Times New Roman"/>
          <w:sz w:val="18"/>
          <w:szCs w:val="18"/>
          <w:lang w:val="en-US"/>
        </w:rPr>
        <w:t xml:space="preserve"> 185: 106475.</w:t>
      </w:r>
    </w:p>
    <w:p w14:paraId="442A22A1" w14:textId="2B450E7F" w:rsidR="00EE62F8" w:rsidRDefault="00EE62F8">
      <w:pPr>
        <w:pStyle w:val="Akapitzlist"/>
        <w:numPr>
          <w:ilvl w:val="1"/>
          <w:numId w:val="30"/>
        </w:numPr>
        <w:spacing w:after="0" w:line="240" w:lineRule="auto"/>
        <w:ind w:left="360"/>
        <w:jc w:val="both"/>
        <w:rPr>
          <w:rFonts w:ascii="Times New Roman" w:hAnsi="Times New Roman"/>
          <w:sz w:val="18"/>
          <w:szCs w:val="18"/>
          <w:lang w:val="en-US"/>
        </w:rPr>
      </w:pPr>
      <w:r w:rsidRPr="00EE62F8">
        <w:rPr>
          <w:rFonts w:ascii="Times New Roman" w:hAnsi="Times New Roman"/>
          <w:sz w:val="18"/>
          <w:szCs w:val="18"/>
          <w:lang w:val="en-US"/>
        </w:rPr>
        <w:t xml:space="preserve">ZHOU S., WANG Y., LI J., 2021, Electric heat decarbonization pathways in China, </w:t>
      </w:r>
      <w:r w:rsidRPr="00EE62F8">
        <w:rPr>
          <w:rFonts w:ascii="Times New Roman" w:hAnsi="Times New Roman"/>
          <w:i/>
          <w:sz w:val="18"/>
          <w:szCs w:val="18"/>
          <w:lang w:val="en-US"/>
        </w:rPr>
        <w:t>Applied Energy</w:t>
      </w:r>
      <w:r>
        <w:rPr>
          <w:rFonts w:ascii="Times New Roman" w:hAnsi="Times New Roman"/>
          <w:i/>
          <w:sz w:val="18"/>
          <w:szCs w:val="18"/>
          <w:lang w:val="en-US"/>
        </w:rPr>
        <w:t>,</w:t>
      </w:r>
      <w:r w:rsidRPr="00EE62F8">
        <w:rPr>
          <w:rFonts w:ascii="Times New Roman" w:hAnsi="Times New Roman"/>
          <w:sz w:val="18"/>
          <w:szCs w:val="18"/>
          <w:lang w:val="en-US"/>
        </w:rPr>
        <w:t xml:space="preserve"> 284: 116319.</w:t>
      </w:r>
    </w:p>
    <w:p w14:paraId="14C70582" w14:textId="77777777" w:rsidR="00EE62F8" w:rsidRPr="00016AFB" w:rsidRDefault="00EE62F8" w:rsidP="00016AFB">
      <w:pPr>
        <w:pStyle w:val="Akapitzlist"/>
        <w:spacing w:after="0" w:line="240" w:lineRule="auto"/>
        <w:ind w:left="360"/>
        <w:jc w:val="both"/>
        <w:rPr>
          <w:rFonts w:ascii="Times New Roman" w:hAnsi="Times New Roman"/>
          <w:sz w:val="20"/>
          <w:szCs w:val="20"/>
          <w:lang w:val="en-US"/>
        </w:rPr>
      </w:pPr>
    </w:p>
    <w:p w14:paraId="046E15E2" w14:textId="471ACF2D" w:rsidR="00016AFB" w:rsidRPr="00016AFB" w:rsidRDefault="00016AFB" w:rsidP="00016AFB">
      <w:pPr>
        <w:spacing w:after="0" w:line="240" w:lineRule="auto"/>
        <w:jc w:val="both"/>
        <w:rPr>
          <w:rFonts w:ascii="Times New Roman" w:hAnsi="Times New Roman"/>
          <w:b/>
          <w:bCs/>
          <w:sz w:val="20"/>
          <w:szCs w:val="20"/>
          <w:lang w:val="en-US" w:eastAsia="fr-FR"/>
        </w:rPr>
      </w:pPr>
      <w:r w:rsidRPr="00016AFB">
        <w:rPr>
          <w:rFonts w:ascii="Times New Roman" w:hAnsi="Times New Roman"/>
          <w:b/>
          <w:bCs/>
          <w:sz w:val="20"/>
          <w:szCs w:val="20"/>
          <w:lang w:val="en-US" w:eastAsia="fr-FR"/>
        </w:rPr>
        <w:t>Annex</w:t>
      </w:r>
    </w:p>
    <w:p w14:paraId="6A70B8CC" w14:textId="77777777" w:rsidR="00016AFB" w:rsidRDefault="00016AFB" w:rsidP="00016AFB">
      <w:pPr>
        <w:spacing w:after="0" w:line="240" w:lineRule="auto"/>
        <w:jc w:val="both"/>
        <w:rPr>
          <w:rFonts w:ascii="Times New Roman" w:hAnsi="Times New Roman"/>
          <w:b/>
          <w:bCs/>
          <w:i/>
          <w:iCs/>
          <w:sz w:val="20"/>
          <w:szCs w:val="20"/>
          <w:lang w:val="en-US" w:eastAsia="fr-FR"/>
        </w:rPr>
      </w:pPr>
    </w:p>
    <w:p w14:paraId="0E4A3FFE" w14:textId="74FCD703" w:rsidR="00016AFB" w:rsidRPr="002E59F4" w:rsidRDefault="00016AFB" w:rsidP="00016AFB">
      <w:pPr>
        <w:spacing w:after="0" w:line="240" w:lineRule="auto"/>
        <w:jc w:val="both"/>
        <w:rPr>
          <w:rFonts w:ascii="Times New Roman" w:hAnsi="Times New Roman"/>
          <w:b/>
          <w:bCs/>
          <w:sz w:val="20"/>
          <w:szCs w:val="20"/>
          <w:lang w:val="en-US" w:eastAsia="fr-FR"/>
        </w:rPr>
      </w:pPr>
      <w:r w:rsidRPr="002E59F4">
        <w:rPr>
          <w:rFonts w:ascii="Times New Roman" w:hAnsi="Times New Roman"/>
          <w:b/>
          <w:bCs/>
          <w:sz w:val="20"/>
          <w:szCs w:val="20"/>
          <w:lang w:val="en-US" w:eastAsia="fr-FR"/>
        </w:rPr>
        <w:t xml:space="preserve">Appendix A: Technical </w:t>
      </w:r>
      <w:r w:rsidR="002E59F4">
        <w:rPr>
          <w:rFonts w:ascii="Times New Roman" w:hAnsi="Times New Roman"/>
          <w:b/>
          <w:bCs/>
          <w:sz w:val="20"/>
          <w:szCs w:val="20"/>
          <w:lang w:val="en-US" w:eastAsia="fr-FR"/>
        </w:rPr>
        <w:t>s</w:t>
      </w:r>
      <w:r w:rsidRPr="002E59F4">
        <w:rPr>
          <w:rFonts w:ascii="Times New Roman" w:hAnsi="Times New Roman"/>
          <w:b/>
          <w:bCs/>
          <w:sz w:val="20"/>
          <w:szCs w:val="20"/>
          <w:lang w:val="en-US" w:eastAsia="fr-FR"/>
        </w:rPr>
        <w:t>upplement</w:t>
      </w:r>
    </w:p>
    <w:p w14:paraId="7FA74222" w14:textId="77777777" w:rsidR="00016AFB" w:rsidRDefault="00016AFB" w:rsidP="00016AFB">
      <w:pPr>
        <w:spacing w:after="0" w:line="240" w:lineRule="auto"/>
        <w:jc w:val="both"/>
        <w:rPr>
          <w:rFonts w:ascii="Times New Roman" w:hAnsi="Times New Roman"/>
          <w:b/>
          <w:bCs/>
          <w:i/>
          <w:iCs/>
          <w:sz w:val="20"/>
          <w:szCs w:val="20"/>
          <w:lang w:val="en-US" w:eastAsia="fr-FR"/>
        </w:rPr>
      </w:pPr>
    </w:p>
    <w:p w14:paraId="5185B24A" w14:textId="016E4DB1" w:rsidR="00016AFB" w:rsidRPr="002E59F4" w:rsidRDefault="00016AFB" w:rsidP="00016AFB">
      <w:pPr>
        <w:spacing w:after="0" w:line="240" w:lineRule="auto"/>
        <w:jc w:val="both"/>
        <w:rPr>
          <w:rFonts w:ascii="Times New Roman" w:hAnsi="Times New Roman"/>
          <w:b/>
          <w:bCs/>
          <w:sz w:val="20"/>
          <w:szCs w:val="20"/>
          <w:lang w:val="en-US" w:eastAsia="fr-FR"/>
        </w:rPr>
      </w:pPr>
      <w:r w:rsidRPr="002E59F4">
        <w:rPr>
          <w:rFonts w:ascii="Times New Roman" w:hAnsi="Times New Roman"/>
          <w:b/>
          <w:bCs/>
          <w:sz w:val="20"/>
          <w:szCs w:val="20"/>
          <w:lang w:val="en-US" w:eastAsia="fr-FR"/>
        </w:rPr>
        <w:t>A.1. Model Equations</w:t>
      </w:r>
    </w:p>
    <w:p w14:paraId="0E4011B0" w14:textId="77777777" w:rsidR="002E59F4" w:rsidRPr="002E59F4" w:rsidRDefault="00016AFB" w:rsidP="00016AFB">
      <w:pPr>
        <w:spacing w:after="0" w:line="240" w:lineRule="auto"/>
        <w:jc w:val="both"/>
        <w:rPr>
          <w:rFonts w:ascii="Times New Roman" w:hAnsi="Times New Roman"/>
          <w:b/>
          <w:bCs/>
          <w:sz w:val="20"/>
          <w:szCs w:val="20"/>
          <w:lang w:val="en-US" w:eastAsia="fr-FR"/>
        </w:rPr>
      </w:pPr>
      <w:r w:rsidRPr="002E59F4">
        <w:rPr>
          <w:rFonts w:ascii="Times New Roman" w:hAnsi="Times New Roman"/>
          <w:b/>
          <w:bCs/>
          <w:sz w:val="20"/>
          <w:szCs w:val="20"/>
          <w:lang w:val="en-US" w:eastAsia="fr-FR"/>
        </w:rPr>
        <w:t>Substation Headroom Calculation:</w:t>
      </w:r>
    </w:p>
    <w:p w14:paraId="79C1C66A" w14:textId="3C907E0A" w:rsidR="002E59F4" w:rsidRDefault="00016AFB" w:rsidP="00016AFB">
      <w:pPr>
        <w:spacing w:after="0" w:line="240" w:lineRule="auto"/>
        <w:jc w:val="both"/>
        <w:rPr>
          <w:rFonts w:ascii="Times New Roman" w:hAnsi="Times New Roman"/>
          <w:i/>
          <w:sz w:val="20"/>
          <w:szCs w:val="20"/>
          <w:lang w:val="en-US"/>
        </w:rPr>
      </w:pPr>
      <w:r w:rsidRPr="00016AFB">
        <w:rPr>
          <w:rFonts w:ascii="Times New Roman" w:hAnsi="Times New Roman"/>
          <w:b/>
          <w:bCs/>
          <w:i/>
          <w:iCs/>
          <w:sz w:val="20"/>
          <w:szCs w:val="20"/>
          <w:lang w:val="en-US" w:eastAsia="fr-FR"/>
        </w:rPr>
        <w:t xml:space="preserve"> </w:t>
      </w:r>
      <m:oMath>
        <m:sSub>
          <m:sSubPr>
            <m:ctrlPr>
              <w:rPr>
                <w:rFonts w:ascii="Cambria Math" w:hAnsi="Cambria Math"/>
                <w:i/>
                <w:sz w:val="20"/>
                <w:szCs w:val="20"/>
                <w:lang w:val="en-US"/>
              </w:rPr>
            </m:ctrlPr>
          </m:sSubPr>
          <m:e>
            <m:r>
              <w:rPr>
                <w:rFonts w:ascii="Cambria Math" w:hAnsi="Cambria Math"/>
                <w:sz w:val="20"/>
                <w:szCs w:val="20"/>
                <w:lang w:val="en-US"/>
              </w:rPr>
              <m:t>H</m:t>
            </m:r>
          </m:e>
          <m:sub>
            <m:r>
              <w:rPr>
                <w:rFonts w:ascii="Cambria Math" w:hAnsi="Cambria Math"/>
                <w:sz w:val="20"/>
                <w:szCs w:val="20"/>
                <w:lang w:val="en-US"/>
              </w:rPr>
              <m:t>j,t</m:t>
            </m:r>
          </m:sub>
        </m:sSub>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C</m:t>
            </m:r>
          </m:e>
          <m:sub>
            <m:r>
              <w:rPr>
                <w:rFonts w:ascii="Cambria Math" w:hAnsi="Cambria Math"/>
                <w:sz w:val="20"/>
                <w:szCs w:val="20"/>
                <w:lang w:val="en-US"/>
              </w:rPr>
              <m:t>j</m:t>
            </m:r>
          </m:sub>
        </m:sSub>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D</m:t>
            </m:r>
          </m:e>
          <m:sub>
            <m:r>
              <w:rPr>
                <w:rFonts w:ascii="Cambria Math" w:hAnsi="Cambria Math"/>
                <w:sz w:val="20"/>
                <w:szCs w:val="20"/>
                <w:lang w:val="en-US"/>
              </w:rPr>
              <m:t>j,t</m:t>
            </m:r>
          </m:sub>
        </m:sSub>
      </m:oMath>
      <w:r w:rsidRPr="00016AFB">
        <w:rPr>
          <w:rFonts w:ascii="Times New Roman" w:hAnsi="Times New Roman"/>
          <w:i/>
          <w:sz w:val="20"/>
          <w:szCs w:val="20"/>
          <w:lang w:val="en-US"/>
        </w:rPr>
        <w:t xml:space="preserve"> </w:t>
      </w:r>
    </w:p>
    <w:p w14:paraId="11159182" w14:textId="2E186AB1" w:rsidR="00016AFB" w:rsidRPr="00016AFB" w:rsidRDefault="00016AFB" w:rsidP="00016AFB">
      <w:pPr>
        <w:spacing w:after="0" w:line="240" w:lineRule="auto"/>
        <w:jc w:val="both"/>
        <w:rPr>
          <w:rFonts w:ascii="Times New Roman" w:hAnsi="Times New Roman"/>
          <w:b/>
          <w:bCs/>
          <w:i/>
          <w:iCs/>
          <w:sz w:val="20"/>
          <w:szCs w:val="20"/>
          <w:lang w:val="en-US" w:eastAsia="fr-FR"/>
        </w:rPr>
      </w:pPr>
      <w:r w:rsidRPr="00016AFB">
        <w:rPr>
          <w:rFonts w:ascii="Times New Roman" w:hAnsi="Times New Roman"/>
          <w:i/>
          <w:iCs/>
          <w:sz w:val="20"/>
          <w:szCs w:val="20"/>
          <w:lang w:val="en-US" w:eastAsia="fr-FR"/>
        </w:rPr>
        <w:t>Where:</w:t>
      </w:r>
    </w:p>
    <w:p w14:paraId="037BECCA" w14:textId="77777777" w:rsidR="00016AFB" w:rsidRPr="00016AFB" w:rsidRDefault="00000000">
      <w:pPr>
        <w:numPr>
          <w:ilvl w:val="0"/>
          <w:numId w:val="39"/>
        </w:numPr>
        <w:spacing w:after="0" w:line="240" w:lineRule="auto"/>
        <w:jc w:val="both"/>
        <w:rPr>
          <w:rFonts w:ascii="Times New Roman" w:hAnsi="Times New Roman"/>
          <w:sz w:val="20"/>
          <w:szCs w:val="20"/>
          <w:lang w:val="en-US" w:eastAsia="fr-FR"/>
        </w:rPr>
      </w:pPr>
      <m:oMath>
        <m:sSub>
          <m:sSubPr>
            <m:ctrlPr>
              <w:rPr>
                <w:rFonts w:ascii="Cambria Math" w:hAnsi="Cambria Math"/>
                <w:i/>
                <w:sz w:val="20"/>
                <w:szCs w:val="20"/>
                <w:lang w:val="en-US"/>
              </w:rPr>
            </m:ctrlPr>
          </m:sSubPr>
          <m:e>
            <m:r>
              <w:rPr>
                <w:rFonts w:ascii="Cambria Math" w:hAnsi="Cambria Math"/>
                <w:sz w:val="20"/>
                <w:szCs w:val="20"/>
                <w:lang w:val="en-US"/>
              </w:rPr>
              <m:t>H</m:t>
            </m:r>
          </m:e>
          <m:sub>
            <m:r>
              <w:rPr>
                <w:rFonts w:ascii="Cambria Math" w:hAnsi="Cambria Math"/>
                <w:sz w:val="20"/>
                <w:szCs w:val="20"/>
                <w:lang w:val="en-US"/>
              </w:rPr>
              <m:t>j,t</m:t>
            </m:r>
          </m:sub>
        </m:sSub>
      </m:oMath>
      <w:r w:rsidR="00016AFB" w:rsidRPr="00016AFB">
        <w:rPr>
          <w:rFonts w:ascii="Times New Roman" w:hAnsi="Times New Roman"/>
          <w:sz w:val="20"/>
          <w:szCs w:val="20"/>
          <w:lang w:val="en-US" w:eastAsia="fr-FR"/>
        </w:rPr>
        <w:t xml:space="preserve">: Headroom at substation in year </w:t>
      </w:r>
    </w:p>
    <w:p w14:paraId="4437BC94" w14:textId="77777777" w:rsidR="00016AFB" w:rsidRPr="00016AFB" w:rsidRDefault="00000000">
      <w:pPr>
        <w:numPr>
          <w:ilvl w:val="0"/>
          <w:numId w:val="39"/>
        </w:numPr>
        <w:spacing w:after="0" w:line="240" w:lineRule="auto"/>
        <w:jc w:val="both"/>
        <w:rPr>
          <w:rFonts w:ascii="Times New Roman" w:hAnsi="Times New Roman"/>
          <w:sz w:val="20"/>
          <w:szCs w:val="20"/>
          <w:lang w:val="en-US" w:eastAsia="fr-FR"/>
        </w:rPr>
      </w:pPr>
      <m:oMath>
        <m:sSub>
          <m:sSubPr>
            <m:ctrlPr>
              <w:rPr>
                <w:rFonts w:ascii="Cambria Math" w:hAnsi="Cambria Math"/>
                <w:i/>
                <w:sz w:val="20"/>
                <w:szCs w:val="20"/>
                <w:lang w:val="en-US"/>
              </w:rPr>
            </m:ctrlPr>
          </m:sSubPr>
          <m:e>
            <m:r>
              <w:rPr>
                <w:rFonts w:ascii="Cambria Math" w:hAnsi="Cambria Math"/>
                <w:sz w:val="20"/>
                <w:szCs w:val="20"/>
                <w:lang w:val="en-US"/>
              </w:rPr>
              <m:t>C</m:t>
            </m:r>
          </m:e>
          <m:sub>
            <m:r>
              <w:rPr>
                <w:rFonts w:ascii="Cambria Math" w:hAnsi="Cambria Math"/>
                <w:sz w:val="20"/>
                <w:szCs w:val="20"/>
                <w:lang w:val="en-US"/>
              </w:rPr>
              <m:t>j</m:t>
            </m:r>
          </m:sub>
        </m:sSub>
      </m:oMath>
      <w:r w:rsidR="00016AFB" w:rsidRPr="00016AFB">
        <w:rPr>
          <w:rFonts w:ascii="Times New Roman" w:hAnsi="Times New Roman"/>
          <w:sz w:val="20"/>
          <w:szCs w:val="20"/>
          <w:lang w:val="en-US" w:eastAsia="fr-FR"/>
        </w:rPr>
        <w:t>: Thermal rated capacity (MW)</w:t>
      </w:r>
    </w:p>
    <w:p w14:paraId="294A4046" w14:textId="77777777" w:rsidR="00016AFB" w:rsidRPr="00016AFB" w:rsidRDefault="00000000">
      <w:pPr>
        <w:numPr>
          <w:ilvl w:val="0"/>
          <w:numId w:val="39"/>
        </w:numPr>
        <w:spacing w:after="0" w:line="240" w:lineRule="auto"/>
        <w:jc w:val="both"/>
        <w:rPr>
          <w:rFonts w:ascii="Times New Roman" w:hAnsi="Times New Roman"/>
          <w:sz w:val="20"/>
          <w:szCs w:val="20"/>
          <w:lang w:val="en-US" w:eastAsia="fr-FR"/>
        </w:rPr>
      </w:pPr>
      <m:oMath>
        <m:sSub>
          <m:sSubPr>
            <m:ctrlPr>
              <w:rPr>
                <w:rFonts w:ascii="Cambria Math" w:hAnsi="Cambria Math"/>
                <w:i/>
                <w:sz w:val="20"/>
                <w:szCs w:val="20"/>
                <w:lang w:val="en-US"/>
              </w:rPr>
            </m:ctrlPr>
          </m:sSubPr>
          <m:e>
            <m:r>
              <w:rPr>
                <w:rFonts w:ascii="Cambria Math" w:hAnsi="Cambria Math"/>
                <w:sz w:val="20"/>
                <w:szCs w:val="20"/>
                <w:lang w:val="en-US"/>
              </w:rPr>
              <m:t>D</m:t>
            </m:r>
          </m:e>
          <m:sub>
            <m:r>
              <w:rPr>
                <w:rFonts w:ascii="Cambria Math" w:hAnsi="Cambria Math"/>
                <w:sz w:val="20"/>
                <w:szCs w:val="20"/>
                <w:lang w:val="en-US"/>
              </w:rPr>
              <m:t>j,t</m:t>
            </m:r>
          </m:sub>
        </m:sSub>
      </m:oMath>
      <w:r w:rsidR="00016AFB" w:rsidRPr="00016AFB">
        <w:rPr>
          <w:rFonts w:ascii="Times New Roman" w:hAnsi="Times New Roman"/>
          <w:sz w:val="20"/>
          <w:szCs w:val="20"/>
          <w:lang w:val="en-US" w:eastAsia="fr-FR"/>
        </w:rPr>
        <w:t>: Total projected load across all sectors</w:t>
      </w:r>
    </w:p>
    <w:p w14:paraId="746B3772" w14:textId="77777777" w:rsidR="002E59F4" w:rsidRPr="002E59F4" w:rsidRDefault="00016AFB" w:rsidP="00016AFB">
      <w:pPr>
        <w:spacing w:after="0" w:line="240" w:lineRule="auto"/>
        <w:jc w:val="both"/>
        <w:rPr>
          <w:rFonts w:ascii="Times New Roman" w:hAnsi="Times New Roman"/>
          <w:b/>
          <w:bCs/>
          <w:sz w:val="20"/>
          <w:szCs w:val="20"/>
          <w:lang w:val="en-US" w:eastAsia="fr-FR"/>
        </w:rPr>
      </w:pPr>
      <w:r w:rsidRPr="002E59F4">
        <w:rPr>
          <w:rFonts w:ascii="Times New Roman" w:hAnsi="Times New Roman"/>
          <w:b/>
          <w:bCs/>
          <w:sz w:val="20"/>
          <w:szCs w:val="20"/>
          <w:lang w:val="en-US" w:eastAsia="fr-FR"/>
        </w:rPr>
        <w:t xml:space="preserve">Industrial Site Demand Projection: </w:t>
      </w:r>
    </w:p>
    <w:p w14:paraId="1E1AA399" w14:textId="4CEE7E2C" w:rsidR="002E59F4" w:rsidRDefault="00000000" w:rsidP="00016AFB">
      <w:pPr>
        <w:spacing w:after="0" w:line="240" w:lineRule="auto"/>
        <w:jc w:val="both"/>
        <w:rPr>
          <w:rFonts w:ascii="Times New Roman" w:hAnsi="Times New Roman"/>
          <w:b/>
          <w:bCs/>
          <w:i/>
          <w:iCs/>
          <w:sz w:val="20"/>
          <w:szCs w:val="20"/>
          <w:lang w:val="en-US" w:eastAsia="fr-FR"/>
        </w:rPr>
      </w:pPr>
      <m:oMath>
        <m:sSub>
          <m:sSubPr>
            <m:ctrlPr>
              <w:rPr>
                <w:rFonts w:ascii="Cambria Math" w:hAnsi="Cambria Math"/>
                <w:i/>
                <w:sz w:val="20"/>
                <w:szCs w:val="20"/>
                <w:lang w:val="en-US"/>
              </w:rPr>
            </m:ctrlPr>
          </m:sSubPr>
          <m:e>
            <m:r>
              <w:rPr>
                <w:rFonts w:ascii="Cambria Math" w:hAnsi="Cambria Math"/>
                <w:sz w:val="20"/>
                <w:szCs w:val="20"/>
                <w:lang w:val="en-US"/>
              </w:rPr>
              <m:t>P</m:t>
            </m:r>
          </m:e>
          <m:sub>
            <m:r>
              <w:rPr>
                <w:rFonts w:ascii="Cambria Math" w:hAnsi="Cambria Math"/>
                <w:sz w:val="20"/>
                <w:szCs w:val="20"/>
                <w:lang w:val="en-US"/>
              </w:rPr>
              <m:t>i,t</m:t>
            </m:r>
          </m:sub>
        </m:sSub>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B</m:t>
            </m:r>
          </m:e>
          <m:sub>
            <m:r>
              <w:rPr>
                <w:rFonts w:ascii="Cambria Math" w:hAnsi="Cambria Math"/>
                <w:sz w:val="20"/>
                <w:szCs w:val="20"/>
                <w:lang w:val="en-US"/>
              </w:rPr>
              <m:t>i</m:t>
            </m:r>
          </m:sub>
        </m:sSub>
        <m:r>
          <w:rPr>
            <w:rFonts w:ascii="Cambria Math" w:hAnsi="Cambria Math"/>
            <w:sz w:val="20"/>
            <w:szCs w:val="20"/>
            <w:lang w:val="en-US"/>
          </w:rPr>
          <m:t>.</m:t>
        </m:r>
        <m:sSup>
          <m:sSupPr>
            <m:ctrlPr>
              <w:rPr>
                <w:rFonts w:ascii="Cambria Math" w:hAnsi="Cambria Math"/>
                <w:i/>
                <w:sz w:val="20"/>
                <w:szCs w:val="20"/>
                <w:lang w:val="en-US"/>
              </w:rPr>
            </m:ctrlPr>
          </m:sSupPr>
          <m:e>
            <m:d>
              <m:dPr>
                <m:ctrlPr>
                  <w:rPr>
                    <w:rFonts w:ascii="Cambria Math" w:hAnsi="Cambria Math"/>
                    <w:i/>
                    <w:sz w:val="20"/>
                    <w:szCs w:val="20"/>
                    <w:lang w:val="en-US"/>
                  </w:rPr>
                </m:ctrlPr>
              </m:dPr>
              <m:e>
                <m:r>
                  <w:rPr>
                    <w:rFonts w:ascii="Cambria Math" w:hAnsi="Cambria Math"/>
                    <w:sz w:val="20"/>
                    <w:szCs w:val="20"/>
                    <w:lang w:val="en-US"/>
                  </w:rPr>
                  <m:t>1+</m:t>
                </m:r>
                <m:sSub>
                  <m:sSubPr>
                    <m:ctrlPr>
                      <w:rPr>
                        <w:rFonts w:ascii="Cambria Math" w:hAnsi="Cambria Math"/>
                        <w:i/>
                        <w:sz w:val="20"/>
                        <w:szCs w:val="20"/>
                        <w:lang w:val="en-US"/>
                      </w:rPr>
                    </m:ctrlPr>
                  </m:sSubPr>
                  <m:e>
                    <m:r>
                      <w:rPr>
                        <w:rFonts w:ascii="Cambria Math" w:hAnsi="Cambria Math"/>
                        <w:sz w:val="20"/>
                        <w:szCs w:val="20"/>
                        <w:lang w:val="en-US"/>
                      </w:rPr>
                      <m:t>g</m:t>
                    </m:r>
                  </m:e>
                  <m:sub>
                    <m:r>
                      <w:rPr>
                        <w:rFonts w:ascii="Cambria Math" w:hAnsi="Cambria Math"/>
                        <w:sz w:val="20"/>
                        <w:szCs w:val="20"/>
                        <w:lang w:val="en-US"/>
                      </w:rPr>
                      <m:t>i</m:t>
                    </m:r>
                  </m:sub>
                </m:sSub>
              </m:e>
            </m:d>
          </m:e>
          <m:sup>
            <m:r>
              <w:rPr>
                <w:rFonts w:ascii="Cambria Math" w:hAnsi="Cambria Math"/>
                <w:sz w:val="20"/>
                <w:szCs w:val="20"/>
                <w:lang w:val="en-US"/>
              </w:rPr>
              <m:t>t-2024</m:t>
            </m:r>
          </m:sup>
        </m:sSup>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e</m:t>
            </m:r>
          </m:e>
          <m:sub>
            <m:r>
              <w:rPr>
                <w:rFonts w:ascii="Cambria Math" w:hAnsi="Cambria Math"/>
                <w:sz w:val="20"/>
                <w:szCs w:val="20"/>
                <w:lang w:val="en-US"/>
              </w:rPr>
              <m:t>i,t</m:t>
            </m:r>
          </m:sub>
        </m:sSub>
      </m:oMath>
      <w:r w:rsidR="00016AFB" w:rsidRPr="00016AFB">
        <w:rPr>
          <w:rFonts w:ascii="Times New Roman" w:hAnsi="Times New Roman"/>
          <w:b/>
          <w:bCs/>
          <w:i/>
          <w:iCs/>
          <w:sz w:val="20"/>
          <w:szCs w:val="20"/>
          <w:lang w:val="en-US" w:eastAsia="fr-FR"/>
        </w:rPr>
        <w:t xml:space="preserve"> </w:t>
      </w:r>
    </w:p>
    <w:p w14:paraId="20909459" w14:textId="19E5C09A" w:rsidR="00016AFB" w:rsidRPr="002E59F4" w:rsidRDefault="00016AFB" w:rsidP="00016AFB">
      <w:pPr>
        <w:spacing w:after="0" w:line="240" w:lineRule="auto"/>
        <w:jc w:val="both"/>
        <w:rPr>
          <w:rFonts w:ascii="Times New Roman" w:hAnsi="Times New Roman"/>
          <w:i/>
          <w:iCs/>
          <w:sz w:val="20"/>
          <w:szCs w:val="20"/>
          <w:lang w:val="en-US" w:eastAsia="fr-FR"/>
        </w:rPr>
      </w:pPr>
      <w:r w:rsidRPr="002E59F4">
        <w:rPr>
          <w:rFonts w:ascii="Times New Roman" w:hAnsi="Times New Roman"/>
          <w:i/>
          <w:iCs/>
          <w:sz w:val="20"/>
          <w:szCs w:val="20"/>
          <w:lang w:val="en-US" w:eastAsia="fr-FR"/>
        </w:rPr>
        <w:t>Where:</w:t>
      </w:r>
    </w:p>
    <w:p w14:paraId="6597E8C8" w14:textId="77777777" w:rsidR="00016AFB" w:rsidRPr="00016AFB" w:rsidRDefault="00000000">
      <w:pPr>
        <w:numPr>
          <w:ilvl w:val="0"/>
          <w:numId w:val="40"/>
        </w:numPr>
        <w:spacing w:after="0" w:line="240" w:lineRule="auto"/>
        <w:jc w:val="both"/>
        <w:rPr>
          <w:rFonts w:ascii="Times New Roman" w:hAnsi="Times New Roman"/>
          <w:sz w:val="20"/>
          <w:szCs w:val="20"/>
          <w:lang w:val="en-US" w:eastAsia="fr-FR"/>
        </w:rPr>
      </w:pPr>
      <m:oMath>
        <m:sSub>
          <m:sSubPr>
            <m:ctrlPr>
              <w:rPr>
                <w:rFonts w:ascii="Cambria Math" w:hAnsi="Cambria Math"/>
                <w:i/>
                <w:sz w:val="20"/>
                <w:szCs w:val="20"/>
                <w:lang w:val="en-US"/>
              </w:rPr>
            </m:ctrlPr>
          </m:sSubPr>
          <m:e>
            <m:r>
              <w:rPr>
                <w:rFonts w:ascii="Cambria Math" w:hAnsi="Cambria Math"/>
                <w:sz w:val="20"/>
                <w:szCs w:val="20"/>
                <w:lang w:val="en-US"/>
              </w:rPr>
              <m:t>B</m:t>
            </m:r>
          </m:e>
          <m:sub>
            <m:r>
              <w:rPr>
                <w:rFonts w:ascii="Cambria Math" w:hAnsi="Cambria Math"/>
                <w:sz w:val="20"/>
                <w:szCs w:val="20"/>
                <w:lang w:val="en-US"/>
              </w:rPr>
              <m:t>i</m:t>
            </m:r>
          </m:sub>
        </m:sSub>
      </m:oMath>
      <w:r w:rsidR="00016AFB" w:rsidRPr="00016AFB">
        <w:rPr>
          <w:rFonts w:ascii="Times New Roman" w:hAnsi="Times New Roman"/>
          <w:sz w:val="20"/>
          <w:szCs w:val="20"/>
          <w:lang w:val="en-US" w:eastAsia="fr-FR"/>
        </w:rPr>
        <w:t>: Base year electricity consumption</w:t>
      </w:r>
    </w:p>
    <w:p w14:paraId="0FCA2151" w14:textId="77777777" w:rsidR="00016AFB" w:rsidRPr="00016AFB" w:rsidRDefault="00000000">
      <w:pPr>
        <w:numPr>
          <w:ilvl w:val="0"/>
          <w:numId w:val="40"/>
        </w:numPr>
        <w:spacing w:after="0" w:line="240" w:lineRule="auto"/>
        <w:jc w:val="both"/>
        <w:rPr>
          <w:rFonts w:ascii="Times New Roman" w:hAnsi="Times New Roman"/>
          <w:sz w:val="20"/>
          <w:szCs w:val="20"/>
          <w:lang w:val="en-US" w:eastAsia="fr-FR"/>
        </w:rPr>
      </w:pPr>
      <m:oMath>
        <m:sSub>
          <m:sSubPr>
            <m:ctrlPr>
              <w:rPr>
                <w:rFonts w:ascii="Cambria Math" w:hAnsi="Cambria Math"/>
                <w:i/>
                <w:sz w:val="20"/>
                <w:szCs w:val="20"/>
                <w:lang w:val="en-US"/>
              </w:rPr>
            </m:ctrlPr>
          </m:sSubPr>
          <m:e>
            <m:r>
              <w:rPr>
                <w:rFonts w:ascii="Cambria Math" w:hAnsi="Cambria Math"/>
                <w:sz w:val="20"/>
                <w:szCs w:val="20"/>
                <w:lang w:val="en-US"/>
              </w:rPr>
              <m:t>g</m:t>
            </m:r>
          </m:e>
          <m:sub>
            <m:r>
              <w:rPr>
                <w:rFonts w:ascii="Cambria Math" w:hAnsi="Cambria Math"/>
                <w:sz w:val="20"/>
                <w:szCs w:val="20"/>
                <w:lang w:val="en-US"/>
              </w:rPr>
              <m:t>i</m:t>
            </m:r>
          </m:sub>
        </m:sSub>
      </m:oMath>
      <w:r w:rsidR="00016AFB" w:rsidRPr="00016AFB">
        <w:rPr>
          <w:rFonts w:ascii="Times New Roman" w:hAnsi="Times New Roman"/>
          <w:sz w:val="20"/>
          <w:szCs w:val="20"/>
          <w:lang w:val="en-US" w:eastAsia="fr-FR"/>
        </w:rPr>
        <w:t>: Sectoral production growth rate</w:t>
      </w:r>
    </w:p>
    <w:p w14:paraId="586CE00A" w14:textId="77777777" w:rsidR="00016AFB" w:rsidRPr="00016AFB" w:rsidRDefault="00000000">
      <w:pPr>
        <w:numPr>
          <w:ilvl w:val="0"/>
          <w:numId w:val="40"/>
        </w:numPr>
        <w:spacing w:after="0" w:line="240" w:lineRule="auto"/>
        <w:jc w:val="both"/>
        <w:rPr>
          <w:rFonts w:ascii="Times New Roman" w:hAnsi="Times New Roman"/>
          <w:sz w:val="20"/>
          <w:szCs w:val="20"/>
          <w:lang w:val="en-US" w:eastAsia="fr-FR"/>
        </w:rPr>
      </w:pPr>
      <m:oMath>
        <m:sSub>
          <m:sSubPr>
            <m:ctrlPr>
              <w:rPr>
                <w:rFonts w:ascii="Cambria Math" w:hAnsi="Cambria Math"/>
                <w:i/>
                <w:sz w:val="20"/>
                <w:szCs w:val="20"/>
                <w:lang w:val="en-US"/>
              </w:rPr>
            </m:ctrlPr>
          </m:sSubPr>
          <m:e>
            <m:r>
              <w:rPr>
                <w:rFonts w:ascii="Cambria Math" w:hAnsi="Cambria Math"/>
                <w:sz w:val="20"/>
                <w:szCs w:val="20"/>
                <w:lang w:val="en-US"/>
              </w:rPr>
              <m:t>e</m:t>
            </m:r>
          </m:e>
          <m:sub>
            <m:r>
              <w:rPr>
                <w:rFonts w:ascii="Cambria Math" w:hAnsi="Cambria Math"/>
                <w:sz w:val="20"/>
                <w:szCs w:val="20"/>
                <w:lang w:val="en-US"/>
              </w:rPr>
              <m:t>i,t</m:t>
            </m:r>
          </m:sub>
        </m:sSub>
      </m:oMath>
      <w:r w:rsidR="00016AFB" w:rsidRPr="00016AFB">
        <w:rPr>
          <w:rFonts w:ascii="Times New Roman" w:hAnsi="Times New Roman"/>
          <w:sz w:val="20"/>
          <w:szCs w:val="20"/>
          <w:lang w:val="en-US"/>
        </w:rPr>
        <w:t>: Electrification factor under scenario t</w:t>
      </w:r>
    </w:p>
    <w:p w14:paraId="444595CC" w14:textId="77777777" w:rsidR="002E59F4" w:rsidRPr="002E59F4" w:rsidRDefault="00016AFB" w:rsidP="00016AFB">
      <w:pPr>
        <w:spacing w:after="0" w:line="240" w:lineRule="auto"/>
        <w:jc w:val="both"/>
        <w:rPr>
          <w:rFonts w:ascii="Times New Roman" w:hAnsi="Times New Roman"/>
          <w:b/>
          <w:bCs/>
          <w:sz w:val="20"/>
          <w:szCs w:val="20"/>
          <w:lang w:val="en-US" w:eastAsia="fr-FR"/>
        </w:rPr>
      </w:pPr>
      <w:r w:rsidRPr="002E59F4">
        <w:rPr>
          <w:rFonts w:ascii="Times New Roman" w:hAnsi="Times New Roman"/>
          <w:b/>
          <w:bCs/>
          <w:sz w:val="20"/>
          <w:szCs w:val="20"/>
          <w:lang w:val="en-US" w:eastAsia="fr-FR"/>
        </w:rPr>
        <w:t xml:space="preserve">Constraint Condition for Site Allocation: </w:t>
      </w:r>
    </w:p>
    <w:p w14:paraId="0447172B" w14:textId="77777777" w:rsidR="002E59F4" w:rsidRDefault="00016AFB" w:rsidP="00016AFB">
      <w:pPr>
        <w:spacing w:after="0" w:line="240" w:lineRule="auto"/>
        <w:jc w:val="both"/>
        <w:rPr>
          <w:rFonts w:ascii="Times New Roman" w:hAnsi="Times New Roman"/>
          <w:sz w:val="20"/>
          <w:szCs w:val="20"/>
          <w:lang w:val="en-US" w:eastAsia="fr-FR"/>
        </w:rPr>
      </w:pPr>
      <w:r w:rsidRPr="00016AFB">
        <w:rPr>
          <w:rFonts w:ascii="Times New Roman" w:hAnsi="Times New Roman"/>
          <w:sz w:val="20"/>
          <w:szCs w:val="20"/>
          <w:lang w:val="en-US" w:eastAsia="fr-FR"/>
        </w:rPr>
        <w:t xml:space="preserve"> </w:t>
      </w:r>
      <m:oMath>
        <m:sSubSup>
          <m:sSubSupPr>
            <m:ctrlPr>
              <w:rPr>
                <w:rFonts w:ascii="Cambria Math" w:hAnsi="Cambria Math"/>
                <w:i/>
                <w:sz w:val="20"/>
                <w:szCs w:val="20"/>
                <w:lang w:val="en-US"/>
              </w:rPr>
            </m:ctrlPr>
          </m:sSubSupPr>
          <m:e>
            <m:r>
              <w:rPr>
                <w:rFonts w:ascii="Cambria Math" w:hAnsi="Cambria Math"/>
                <w:sz w:val="20"/>
                <w:szCs w:val="20"/>
                <w:lang w:val="en-US"/>
              </w:rPr>
              <m:t>C</m:t>
            </m:r>
          </m:e>
          <m:sub>
            <m:r>
              <w:rPr>
                <w:rFonts w:ascii="Cambria Math" w:hAnsi="Cambria Math"/>
                <w:sz w:val="20"/>
                <w:szCs w:val="20"/>
                <w:lang w:val="en-US"/>
              </w:rPr>
              <m:t>i,t</m:t>
            </m:r>
          </m:sub>
          <m:sup>
            <m:r>
              <w:rPr>
                <w:rFonts w:ascii="Cambria Math" w:hAnsi="Cambria Math"/>
                <w:sz w:val="20"/>
                <w:szCs w:val="20"/>
                <w:lang w:val="en-US"/>
              </w:rPr>
              <m:t>com</m:t>
            </m:r>
          </m:sup>
        </m:sSubSup>
        <m:r>
          <w:rPr>
            <w:rFonts w:ascii="Cambria Math" w:hAnsi="Cambria Math"/>
            <w:sz w:val="20"/>
            <w:szCs w:val="20"/>
            <w:lang w:val="en-US"/>
          </w:rPr>
          <m:t>=max</m:t>
        </m:r>
        <m:d>
          <m:dPr>
            <m:ctrlPr>
              <w:rPr>
                <w:rFonts w:ascii="Cambria Math" w:hAnsi="Cambria Math"/>
                <w:i/>
                <w:sz w:val="20"/>
                <w:szCs w:val="20"/>
                <w:lang w:val="en-US"/>
              </w:rPr>
            </m:ctrlPr>
          </m:dPr>
          <m:e>
            <m:r>
              <w:rPr>
                <w:rFonts w:ascii="Cambria Math" w:hAnsi="Cambria Math"/>
                <w:sz w:val="20"/>
                <w:szCs w:val="20"/>
                <w:lang w:val="en-US"/>
              </w:rPr>
              <m:t>0,</m:t>
            </m:r>
            <m:sSub>
              <m:sSubPr>
                <m:ctrlPr>
                  <w:rPr>
                    <w:rFonts w:ascii="Cambria Math" w:hAnsi="Cambria Math"/>
                    <w:i/>
                    <w:sz w:val="20"/>
                    <w:szCs w:val="20"/>
                    <w:lang w:val="en-US"/>
                  </w:rPr>
                </m:ctrlPr>
              </m:sSubPr>
              <m:e>
                <m:r>
                  <w:rPr>
                    <w:rFonts w:ascii="Cambria Math" w:hAnsi="Cambria Math"/>
                    <w:sz w:val="20"/>
                    <w:szCs w:val="20"/>
                    <w:lang w:val="en-US"/>
                  </w:rPr>
                  <m:t>P</m:t>
                </m:r>
              </m:e>
              <m:sub>
                <m:r>
                  <w:rPr>
                    <w:rFonts w:ascii="Cambria Math" w:hAnsi="Cambria Math"/>
                    <w:sz w:val="20"/>
                    <w:szCs w:val="20"/>
                    <w:lang w:val="en-US"/>
                  </w:rPr>
                  <m:t>i,t</m:t>
                </m:r>
              </m:sub>
            </m:sSub>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H</m:t>
                </m:r>
              </m:e>
              <m:sub>
                <m:r>
                  <w:rPr>
                    <w:rFonts w:ascii="Cambria Math" w:hAnsi="Cambria Math"/>
                    <w:sz w:val="20"/>
                    <w:szCs w:val="20"/>
                    <w:lang w:val="en-US"/>
                  </w:rPr>
                  <m:t>j,t</m:t>
                </m:r>
              </m:sub>
            </m:sSub>
          </m:e>
        </m:d>
      </m:oMath>
      <w:r w:rsidRPr="00016AFB">
        <w:rPr>
          <w:rFonts w:ascii="Times New Roman" w:hAnsi="Times New Roman"/>
          <w:sz w:val="20"/>
          <w:szCs w:val="20"/>
          <w:lang w:val="en-US" w:eastAsia="fr-FR"/>
        </w:rPr>
        <w:t xml:space="preserve"> A site is considered constrained if</w:t>
      </w:r>
    </w:p>
    <w:p w14:paraId="63DBC1A3" w14:textId="503B0BF8" w:rsidR="00016AFB" w:rsidRPr="00016AFB" w:rsidRDefault="00016AFB" w:rsidP="00016AFB">
      <w:pPr>
        <w:spacing w:after="0" w:line="240" w:lineRule="auto"/>
        <w:jc w:val="both"/>
        <w:rPr>
          <w:rFonts w:ascii="Times New Roman" w:hAnsi="Times New Roman"/>
          <w:sz w:val="20"/>
          <w:szCs w:val="20"/>
          <w:lang w:val="en-US" w:eastAsia="fr-FR"/>
        </w:rPr>
      </w:pPr>
      <m:oMath>
        <m:r>
          <w:rPr>
            <w:rFonts w:ascii="Cambria Math" w:hAnsi="Cambria Math"/>
            <w:sz w:val="20"/>
            <w:szCs w:val="20"/>
            <w:lang w:val="en-US"/>
          </w:rPr>
          <m:t xml:space="preserve"> </m:t>
        </m:r>
        <m:sSub>
          <m:sSubPr>
            <m:ctrlPr>
              <w:rPr>
                <w:rFonts w:ascii="Cambria Math" w:hAnsi="Cambria Math"/>
                <w:i/>
                <w:sz w:val="20"/>
                <w:szCs w:val="20"/>
                <w:lang w:val="en-US"/>
              </w:rPr>
            </m:ctrlPr>
          </m:sSubPr>
          <m:e>
            <m:r>
              <w:rPr>
                <w:rFonts w:ascii="Cambria Math" w:hAnsi="Cambria Math"/>
                <w:sz w:val="20"/>
                <w:szCs w:val="20"/>
                <w:lang w:val="en-US"/>
              </w:rPr>
              <m:t>H</m:t>
            </m:r>
          </m:e>
          <m:sub>
            <m:r>
              <w:rPr>
                <w:rFonts w:ascii="Cambria Math" w:hAnsi="Cambria Math"/>
                <w:sz w:val="20"/>
                <w:szCs w:val="20"/>
                <w:lang w:val="en-US"/>
              </w:rPr>
              <m:t>j,t</m:t>
            </m:r>
          </m:sub>
        </m:sSub>
        <m:r>
          <w:rPr>
            <w:rFonts w:ascii="Cambria Math" w:hAnsi="Cambria Math"/>
            <w:sz w:val="20"/>
            <w:szCs w:val="20"/>
            <w:lang w:val="en-US"/>
          </w:rPr>
          <m:t>&lt;</m:t>
        </m:r>
        <m:sSub>
          <m:sSubPr>
            <m:ctrlPr>
              <w:rPr>
                <w:rFonts w:ascii="Cambria Math" w:hAnsi="Cambria Math"/>
                <w:i/>
                <w:sz w:val="20"/>
                <w:szCs w:val="20"/>
                <w:lang w:val="en-US"/>
              </w:rPr>
            </m:ctrlPr>
          </m:sSubPr>
          <m:e>
            <m:r>
              <w:rPr>
                <w:rFonts w:ascii="Cambria Math" w:hAnsi="Cambria Math"/>
                <w:sz w:val="20"/>
                <w:szCs w:val="20"/>
                <w:lang w:val="en-US"/>
              </w:rPr>
              <m:t>P</m:t>
            </m:r>
          </m:e>
          <m:sub>
            <m:r>
              <w:rPr>
                <w:rFonts w:ascii="Cambria Math" w:hAnsi="Cambria Math"/>
                <w:sz w:val="20"/>
                <w:szCs w:val="20"/>
                <w:lang w:val="en-US"/>
              </w:rPr>
              <m:t>i,t</m:t>
            </m:r>
          </m:sub>
        </m:sSub>
      </m:oMath>
      <w:r w:rsidRPr="00016AFB">
        <w:rPr>
          <w:rFonts w:ascii="Times New Roman" w:hAnsi="Times New Roman"/>
          <w:sz w:val="20"/>
          <w:szCs w:val="20"/>
          <w:lang w:val="en-US"/>
        </w:rPr>
        <w:t>.</w:t>
      </w:r>
    </w:p>
    <w:p w14:paraId="4854FC01" w14:textId="77777777" w:rsidR="002E59F4" w:rsidRPr="002E59F4" w:rsidRDefault="00016AFB" w:rsidP="00016AFB">
      <w:pPr>
        <w:spacing w:after="0" w:line="240" w:lineRule="auto"/>
        <w:jc w:val="both"/>
        <w:rPr>
          <w:rFonts w:ascii="Times New Roman" w:hAnsi="Times New Roman"/>
          <w:b/>
          <w:bCs/>
          <w:sz w:val="20"/>
          <w:szCs w:val="20"/>
          <w:lang w:val="en-US" w:eastAsia="fr-FR"/>
        </w:rPr>
      </w:pPr>
      <w:r w:rsidRPr="002E59F4">
        <w:rPr>
          <w:rFonts w:ascii="Times New Roman" w:hAnsi="Times New Roman"/>
          <w:b/>
          <w:bCs/>
          <w:sz w:val="20"/>
          <w:szCs w:val="20"/>
          <w:lang w:val="en-US" w:eastAsia="fr-FR"/>
        </w:rPr>
        <w:t>Distance Matching for Substation Allocation:</w:t>
      </w:r>
    </w:p>
    <w:p w14:paraId="00A07A89" w14:textId="7F549903" w:rsidR="00016AFB" w:rsidRPr="00016AFB" w:rsidRDefault="00000000" w:rsidP="00016AFB">
      <w:pPr>
        <w:spacing w:after="0" w:line="240" w:lineRule="auto"/>
        <w:jc w:val="both"/>
        <w:rPr>
          <w:rFonts w:ascii="Times New Roman" w:hAnsi="Times New Roman"/>
          <w:sz w:val="20"/>
          <w:szCs w:val="20"/>
          <w:lang w:val="en-US" w:eastAsia="fr-FR"/>
        </w:rPr>
      </w:pPr>
      <m:oMath>
        <m:sSub>
          <m:sSubPr>
            <m:ctrlPr>
              <w:rPr>
                <w:rFonts w:ascii="Cambria Math" w:hAnsi="Cambria Math"/>
                <w:i/>
                <w:sz w:val="20"/>
                <w:szCs w:val="20"/>
                <w:lang w:val="en-US"/>
              </w:rPr>
            </m:ctrlPr>
          </m:sSubPr>
          <m:e>
            <m:r>
              <w:rPr>
                <w:rFonts w:ascii="Cambria Math" w:hAnsi="Cambria Math"/>
                <w:sz w:val="20"/>
                <w:szCs w:val="20"/>
                <w:lang w:val="en-US"/>
              </w:rPr>
              <m:t>d</m:t>
            </m:r>
          </m:e>
          <m:sub>
            <m:r>
              <w:rPr>
                <w:rFonts w:ascii="Cambria Math" w:hAnsi="Cambria Math"/>
                <w:sz w:val="20"/>
                <w:szCs w:val="20"/>
                <w:lang w:val="en-US"/>
              </w:rPr>
              <m:t>i,j</m:t>
            </m:r>
          </m:sub>
        </m:sSub>
        <m:r>
          <w:rPr>
            <w:rFonts w:ascii="Cambria Math" w:hAnsi="Cambria Math"/>
            <w:sz w:val="20"/>
            <w:szCs w:val="20"/>
            <w:lang w:val="en-US"/>
          </w:rPr>
          <m:t>=2R.arcsin</m:t>
        </m:r>
        <m:d>
          <m:dPr>
            <m:ctrlPr>
              <w:rPr>
                <w:rFonts w:ascii="Cambria Math" w:hAnsi="Cambria Math"/>
                <w:i/>
                <w:sz w:val="20"/>
                <w:szCs w:val="20"/>
                <w:lang w:val="en-US"/>
              </w:rPr>
            </m:ctrlPr>
          </m:dPr>
          <m:e>
            <m:rad>
              <m:radPr>
                <m:degHide m:val="1"/>
                <m:ctrlPr>
                  <w:rPr>
                    <w:rFonts w:ascii="Cambria Math" w:hAnsi="Cambria Math"/>
                    <w:i/>
                    <w:sz w:val="20"/>
                    <w:szCs w:val="20"/>
                    <w:lang w:val="en-US"/>
                  </w:rPr>
                </m:ctrlPr>
              </m:radPr>
              <m:deg/>
              <m:e>
                <m:sSup>
                  <m:sSupPr>
                    <m:ctrlPr>
                      <w:rPr>
                        <w:rFonts w:ascii="Cambria Math" w:hAnsi="Cambria Math"/>
                        <w:i/>
                        <w:sz w:val="20"/>
                        <w:szCs w:val="20"/>
                        <w:lang w:val="en-US"/>
                      </w:rPr>
                    </m:ctrlPr>
                  </m:sSupPr>
                  <m:e>
                    <m:r>
                      <w:rPr>
                        <w:rFonts w:ascii="Cambria Math" w:hAnsi="Cambria Math"/>
                        <w:sz w:val="20"/>
                        <w:szCs w:val="20"/>
                        <w:lang w:val="en-US"/>
                      </w:rPr>
                      <m:t>sin</m:t>
                    </m:r>
                  </m:e>
                  <m:sup>
                    <m:r>
                      <w:rPr>
                        <w:rFonts w:ascii="Cambria Math" w:hAnsi="Cambria Math"/>
                        <w:sz w:val="20"/>
                        <w:szCs w:val="20"/>
                        <w:lang w:val="en-US"/>
                      </w:rPr>
                      <m:t>2</m:t>
                    </m:r>
                  </m:sup>
                </m:sSup>
                <m:d>
                  <m:dPr>
                    <m:ctrlPr>
                      <w:rPr>
                        <w:rFonts w:ascii="Cambria Math" w:hAnsi="Cambria Math"/>
                        <w:i/>
                        <w:sz w:val="20"/>
                        <w:szCs w:val="20"/>
                        <w:lang w:val="en-US"/>
                      </w:rPr>
                    </m:ctrlPr>
                  </m:dPr>
                  <m:e>
                    <m:f>
                      <m:fPr>
                        <m:ctrlPr>
                          <w:rPr>
                            <w:rFonts w:ascii="Cambria Math" w:hAnsi="Cambria Math"/>
                            <w:i/>
                            <w:sz w:val="20"/>
                            <w:szCs w:val="20"/>
                            <w:lang w:val="en-US"/>
                          </w:rPr>
                        </m:ctrlPr>
                      </m:fPr>
                      <m:num>
                        <m:r>
                          <w:rPr>
                            <w:rFonts w:ascii="Cambria Math" w:hAnsi="Cambria Math"/>
                            <w:sz w:val="20"/>
                            <w:szCs w:val="20"/>
                            <w:lang w:val="en-US"/>
                          </w:rPr>
                          <m:t>∆lat</m:t>
                        </m:r>
                      </m:num>
                      <m:den>
                        <m:r>
                          <w:rPr>
                            <w:rFonts w:ascii="Cambria Math" w:hAnsi="Cambria Math"/>
                            <w:sz w:val="20"/>
                            <w:szCs w:val="20"/>
                            <w:lang w:val="en-US"/>
                          </w:rPr>
                          <m:t>2</m:t>
                        </m:r>
                      </m:den>
                    </m:f>
                  </m:e>
                </m:d>
                <m:r>
                  <w:rPr>
                    <w:rFonts w:ascii="Cambria Math" w:hAnsi="Cambria Math"/>
                    <w:sz w:val="20"/>
                    <w:szCs w:val="20"/>
                    <w:lang w:val="en-US"/>
                  </w:rPr>
                  <m:t>+cos</m:t>
                </m:r>
                <m:d>
                  <m:dPr>
                    <m:ctrlPr>
                      <w:rPr>
                        <w:rFonts w:ascii="Cambria Math" w:hAnsi="Cambria Math"/>
                        <w:i/>
                        <w:sz w:val="20"/>
                        <w:szCs w:val="20"/>
                        <w:lang w:val="en-US"/>
                      </w:rPr>
                    </m:ctrlPr>
                  </m:dPr>
                  <m:e>
                    <m:sSub>
                      <m:sSubPr>
                        <m:ctrlPr>
                          <w:rPr>
                            <w:rFonts w:ascii="Cambria Math" w:hAnsi="Cambria Math"/>
                            <w:i/>
                            <w:sz w:val="20"/>
                            <w:szCs w:val="20"/>
                            <w:lang w:val="en-US"/>
                          </w:rPr>
                        </m:ctrlPr>
                      </m:sSubPr>
                      <m:e>
                        <m:r>
                          <w:rPr>
                            <w:rFonts w:ascii="Cambria Math" w:hAnsi="Cambria Math"/>
                            <w:sz w:val="20"/>
                            <w:szCs w:val="20"/>
                            <w:lang w:val="en-US"/>
                          </w:rPr>
                          <m:t>lat</m:t>
                        </m:r>
                      </m:e>
                      <m:sub>
                        <m:r>
                          <w:rPr>
                            <w:rFonts w:ascii="Cambria Math" w:hAnsi="Cambria Math"/>
                            <w:sz w:val="20"/>
                            <w:szCs w:val="20"/>
                            <w:lang w:val="en-US"/>
                          </w:rPr>
                          <m:t>i</m:t>
                        </m:r>
                      </m:sub>
                    </m:sSub>
                  </m:e>
                </m:d>
                <m:r>
                  <w:rPr>
                    <w:rFonts w:ascii="Cambria Math" w:hAnsi="Cambria Math"/>
                    <w:sz w:val="20"/>
                    <w:szCs w:val="20"/>
                    <w:lang w:val="en-US"/>
                  </w:rPr>
                  <m:t>.cos</m:t>
                </m:r>
                <m:d>
                  <m:dPr>
                    <m:ctrlPr>
                      <w:rPr>
                        <w:rFonts w:ascii="Cambria Math" w:hAnsi="Cambria Math"/>
                        <w:i/>
                        <w:sz w:val="20"/>
                        <w:szCs w:val="20"/>
                        <w:lang w:val="en-US"/>
                      </w:rPr>
                    </m:ctrlPr>
                  </m:dPr>
                  <m:e>
                    <m:sSub>
                      <m:sSubPr>
                        <m:ctrlPr>
                          <w:rPr>
                            <w:rFonts w:ascii="Cambria Math" w:hAnsi="Cambria Math"/>
                            <w:i/>
                            <w:sz w:val="20"/>
                            <w:szCs w:val="20"/>
                            <w:lang w:val="en-US"/>
                          </w:rPr>
                        </m:ctrlPr>
                      </m:sSubPr>
                      <m:e>
                        <m:r>
                          <w:rPr>
                            <w:rFonts w:ascii="Cambria Math" w:hAnsi="Cambria Math"/>
                            <w:sz w:val="20"/>
                            <w:szCs w:val="20"/>
                            <w:lang w:val="en-US"/>
                          </w:rPr>
                          <m:t>lat</m:t>
                        </m:r>
                      </m:e>
                      <m:sub>
                        <m:r>
                          <w:rPr>
                            <w:rFonts w:ascii="Cambria Math" w:hAnsi="Cambria Math"/>
                            <w:sz w:val="20"/>
                            <w:szCs w:val="20"/>
                            <w:lang w:val="en-US"/>
                          </w:rPr>
                          <m:t>j</m:t>
                        </m:r>
                      </m:sub>
                    </m:sSub>
                  </m:e>
                </m:d>
                <m:r>
                  <w:rPr>
                    <w:rFonts w:ascii="Cambria Math" w:hAnsi="Cambria Math"/>
                    <w:sz w:val="20"/>
                    <w:szCs w:val="20"/>
                    <w:lang w:val="en-US"/>
                  </w:rPr>
                  <m:t>.</m:t>
                </m:r>
                <m:sSup>
                  <m:sSupPr>
                    <m:ctrlPr>
                      <w:rPr>
                        <w:rFonts w:ascii="Cambria Math" w:hAnsi="Cambria Math"/>
                        <w:i/>
                        <w:sz w:val="20"/>
                        <w:szCs w:val="20"/>
                        <w:lang w:val="en-US"/>
                      </w:rPr>
                    </m:ctrlPr>
                  </m:sSupPr>
                  <m:e>
                    <m:r>
                      <w:rPr>
                        <w:rFonts w:ascii="Cambria Math" w:hAnsi="Cambria Math"/>
                        <w:sz w:val="20"/>
                        <w:szCs w:val="20"/>
                        <w:lang w:val="en-US"/>
                      </w:rPr>
                      <m:t>sin</m:t>
                    </m:r>
                  </m:e>
                  <m:sup>
                    <m:r>
                      <w:rPr>
                        <w:rFonts w:ascii="Cambria Math" w:hAnsi="Cambria Math"/>
                        <w:sz w:val="20"/>
                        <w:szCs w:val="20"/>
                        <w:lang w:val="en-US"/>
                      </w:rPr>
                      <m:t>2</m:t>
                    </m:r>
                  </m:sup>
                </m:sSup>
                <m:d>
                  <m:dPr>
                    <m:ctrlPr>
                      <w:rPr>
                        <w:rFonts w:ascii="Cambria Math" w:hAnsi="Cambria Math"/>
                        <w:i/>
                        <w:sz w:val="20"/>
                        <w:szCs w:val="20"/>
                        <w:lang w:val="en-US"/>
                      </w:rPr>
                    </m:ctrlPr>
                  </m:dPr>
                  <m:e>
                    <m:f>
                      <m:fPr>
                        <m:ctrlPr>
                          <w:rPr>
                            <w:rFonts w:ascii="Cambria Math" w:hAnsi="Cambria Math"/>
                            <w:i/>
                            <w:sz w:val="20"/>
                            <w:szCs w:val="20"/>
                            <w:lang w:val="en-US"/>
                          </w:rPr>
                        </m:ctrlPr>
                      </m:fPr>
                      <m:num>
                        <m:r>
                          <w:rPr>
                            <w:rFonts w:ascii="Cambria Math" w:hAnsi="Cambria Math"/>
                            <w:sz w:val="20"/>
                            <w:szCs w:val="20"/>
                            <w:lang w:val="en-US"/>
                          </w:rPr>
                          <m:t>∆lon</m:t>
                        </m:r>
                      </m:num>
                      <m:den>
                        <m:r>
                          <w:rPr>
                            <w:rFonts w:ascii="Cambria Math" w:hAnsi="Cambria Math"/>
                            <w:sz w:val="20"/>
                            <w:szCs w:val="20"/>
                            <w:lang w:val="en-US"/>
                          </w:rPr>
                          <m:t>2</m:t>
                        </m:r>
                      </m:den>
                    </m:f>
                  </m:e>
                </m:d>
              </m:e>
            </m:rad>
          </m:e>
        </m:d>
      </m:oMath>
      <w:r w:rsidR="00016AFB" w:rsidRPr="00016AFB">
        <w:rPr>
          <w:rFonts w:ascii="Times New Roman" w:hAnsi="Times New Roman"/>
          <w:sz w:val="20"/>
          <w:szCs w:val="20"/>
          <w:lang w:val="en-US" w:eastAsia="fr-FR"/>
        </w:rPr>
        <w:t xml:space="preserve"> (Haversine formula, with </w:t>
      </w:r>
      <m:oMath>
        <m:r>
          <w:rPr>
            <w:rFonts w:ascii="Cambria Math" w:hAnsi="Cambria Math"/>
            <w:sz w:val="20"/>
            <w:szCs w:val="20"/>
            <w:lang w:val="en-US"/>
          </w:rPr>
          <m:t>R</m:t>
        </m:r>
      </m:oMath>
      <w:r w:rsidR="00016AFB" w:rsidRPr="00016AFB">
        <w:rPr>
          <w:rFonts w:ascii="Times New Roman" w:hAnsi="Times New Roman"/>
          <w:sz w:val="20"/>
          <w:szCs w:val="20"/>
          <w:lang w:val="en-US"/>
        </w:rPr>
        <w:t xml:space="preserve"> = 6371 km</w:t>
      </w:r>
      <w:r w:rsidR="00016AFB" w:rsidRPr="00016AFB">
        <w:rPr>
          <w:rFonts w:ascii="Times New Roman" w:hAnsi="Times New Roman"/>
          <w:sz w:val="20"/>
          <w:szCs w:val="20"/>
          <w:lang w:val="en-US" w:eastAsia="fr-FR"/>
        </w:rPr>
        <w:t>)</w:t>
      </w:r>
    </w:p>
    <w:p w14:paraId="028DC116" w14:textId="77777777" w:rsidR="002E59F4" w:rsidRDefault="002E59F4" w:rsidP="00016AFB">
      <w:pPr>
        <w:spacing w:after="0" w:line="240" w:lineRule="auto"/>
        <w:jc w:val="both"/>
        <w:rPr>
          <w:rFonts w:ascii="Times New Roman" w:hAnsi="Times New Roman"/>
          <w:b/>
          <w:bCs/>
          <w:i/>
          <w:iCs/>
          <w:sz w:val="20"/>
          <w:szCs w:val="20"/>
          <w:lang w:val="en-US" w:eastAsia="fr-FR"/>
        </w:rPr>
      </w:pPr>
    </w:p>
    <w:p w14:paraId="278997F6" w14:textId="3D3055A6" w:rsidR="00016AFB" w:rsidRPr="002E59F4" w:rsidRDefault="00016AFB" w:rsidP="00016AFB">
      <w:pPr>
        <w:spacing w:after="0" w:line="240" w:lineRule="auto"/>
        <w:jc w:val="both"/>
        <w:rPr>
          <w:rFonts w:ascii="Times New Roman" w:hAnsi="Times New Roman"/>
          <w:b/>
          <w:bCs/>
          <w:sz w:val="20"/>
          <w:szCs w:val="20"/>
          <w:lang w:val="en-US" w:eastAsia="fr-FR"/>
        </w:rPr>
      </w:pPr>
      <w:r w:rsidRPr="002E59F4">
        <w:rPr>
          <w:rFonts w:ascii="Times New Roman" w:hAnsi="Times New Roman"/>
          <w:b/>
          <w:bCs/>
          <w:sz w:val="20"/>
          <w:szCs w:val="20"/>
          <w:lang w:val="en-US" w:eastAsia="fr-FR"/>
        </w:rPr>
        <w:t xml:space="preserve">A.2. Key </w:t>
      </w:r>
      <w:r w:rsidR="002E59F4" w:rsidRPr="002E59F4">
        <w:rPr>
          <w:rFonts w:ascii="Times New Roman" w:hAnsi="Times New Roman"/>
          <w:b/>
          <w:bCs/>
          <w:sz w:val="20"/>
          <w:szCs w:val="20"/>
          <w:lang w:val="en-US" w:eastAsia="fr-FR"/>
        </w:rPr>
        <w:t>v</w:t>
      </w:r>
      <w:r w:rsidRPr="002E59F4">
        <w:rPr>
          <w:rFonts w:ascii="Times New Roman" w:hAnsi="Times New Roman"/>
          <w:b/>
          <w:bCs/>
          <w:sz w:val="20"/>
          <w:szCs w:val="20"/>
          <w:lang w:val="en-US" w:eastAsia="fr-FR"/>
        </w:rPr>
        <w:t xml:space="preserve">ariables and </w:t>
      </w:r>
      <w:r w:rsidR="002E59F4" w:rsidRPr="002E59F4">
        <w:rPr>
          <w:rFonts w:ascii="Times New Roman" w:hAnsi="Times New Roman"/>
          <w:b/>
          <w:bCs/>
          <w:sz w:val="20"/>
          <w:szCs w:val="20"/>
          <w:lang w:val="en-US" w:eastAsia="fr-FR"/>
        </w:rPr>
        <w:t>p</w:t>
      </w:r>
      <w:r w:rsidRPr="002E59F4">
        <w:rPr>
          <w:rFonts w:ascii="Times New Roman" w:hAnsi="Times New Roman"/>
          <w:b/>
          <w:bCs/>
          <w:sz w:val="20"/>
          <w:szCs w:val="20"/>
          <w:lang w:val="en-US" w:eastAsia="fr-FR"/>
        </w:rPr>
        <w:t>arameters</w:t>
      </w:r>
    </w:p>
    <w:p w14:paraId="6409B910" w14:textId="77777777" w:rsidR="002E59F4" w:rsidRDefault="002E59F4" w:rsidP="00016AFB">
      <w:pPr>
        <w:spacing w:after="0" w:line="240" w:lineRule="auto"/>
        <w:jc w:val="both"/>
        <w:rPr>
          <w:rFonts w:ascii="Times New Roman" w:hAnsi="Times New Roman"/>
          <w:b/>
          <w:bCs/>
          <w:i/>
          <w:iCs/>
          <w:sz w:val="20"/>
          <w:szCs w:val="20"/>
          <w:lang w:val="en-US" w:eastAsia="fr-FR"/>
        </w:rPr>
      </w:pPr>
    </w:p>
    <w:tbl>
      <w:tblPr>
        <w:tblStyle w:val="Tabela-Siatka"/>
        <w:tblW w:w="9060" w:type="dxa"/>
        <w:tblLook w:val="04A0" w:firstRow="1" w:lastRow="0" w:firstColumn="1" w:lastColumn="0" w:noHBand="0" w:noVBand="1"/>
      </w:tblPr>
      <w:tblGrid>
        <w:gridCol w:w="3020"/>
        <w:gridCol w:w="3020"/>
        <w:gridCol w:w="3020"/>
      </w:tblGrid>
      <w:tr w:rsidR="002E59F4" w14:paraId="7E739F00" w14:textId="77777777" w:rsidTr="002E59F4">
        <w:tc>
          <w:tcPr>
            <w:tcW w:w="3020" w:type="dxa"/>
            <w:vAlign w:val="center"/>
          </w:tcPr>
          <w:p w14:paraId="342A4AA4" w14:textId="0F9255AE" w:rsidR="002E59F4" w:rsidRDefault="002E59F4" w:rsidP="002E59F4">
            <w:pPr>
              <w:spacing w:after="0" w:line="240" w:lineRule="auto"/>
              <w:jc w:val="both"/>
              <w:rPr>
                <w:rFonts w:ascii="Times New Roman" w:hAnsi="Times New Roman"/>
                <w:b/>
                <w:bCs/>
                <w:sz w:val="20"/>
                <w:szCs w:val="20"/>
                <w:lang w:val="en-US" w:eastAsia="fr-FR"/>
              </w:rPr>
            </w:pPr>
            <w:proofErr w:type="spellStart"/>
            <w:r w:rsidRPr="00016AFB">
              <w:rPr>
                <w:rFonts w:ascii="Times New Roman" w:hAnsi="Times New Roman"/>
                <w:b/>
                <w:bCs/>
                <w:sz w:val="20"/>
                <w:szCs w:val="20"/>
                <w:lang w:eastAsia="fr-FR"/>
              </w:rPr>
              <w:t>Variable</w:t>
            </w:r>
            <w:proofErr w:type="spellEnd"/>
          </w:p>
        </w:tc>
        <w:tc>
          <w:tcPr>
            <w:tcW w:w="3020" w:type="dxa"/>
            <w:vAlign w:val="center"/>
          </w:tcPr>
          <w:p w14:paraId="557E4261" w14:textId="7BEDA92F" w:rsidR="002E59F4" w:rsidRDefault="002E59F4" w:rsidP="002E59F4">
            <w:pPr>
              <w:spacing w:after="0" w:line="240" w:lineRule="auto"/>
              <w:jc w:val="both"/>
              <w:rPr>
                <w:rFonts w:ascii="Times New Roman" w:hAnsi="Times New Roman"/>
                <w:b/>
                <w:bCs/>
                <w:sz w:val="20"/>
                <w:szCs w:val="20"/>
                <w:lang w:val="en-US" w:eastAsia="fr-FR"/>
              </w:rPr>
            </w:pPr>
            <w:r w:rsidRPr="00016AFB">
              <w:rPr>
                <w:rFonts w:ascii="Times New Roman" w:hAnsi="Times New Roman"/>
                <w:b/>
                <w:bCs/>
                <w:sz w:val="20"/>
                <w:szCs w:val="20"/>
                <w:lang w:eastAsia="fr-FR"/>
              </w:rPr>
              <w:t>Definition</w:t>
            </w:r>
          </w:p>
        </w:tc>
        <w:tc>
          <w:tcPr>
            <w:tcW w:w="3020" w:type="dxa"/>
            <w:vAlign w:val="center"/>
          </w:tcPr>
          <w:p w14:paraId="67C5640B" w14:textId="67805A05" w:rsidR="002E59F4" w:rsidRDefault="002E59F4" w:rsidP="002E59F4">
            <w:pPr>
              <w:spacing w:after="0" w:line="240" w:lineRule="auto"/>
              <w:jc w:val="both"/>
              <w:rPr>
                <w:rFonts w:ascii="Times New Roman" w:hAnsi="Times New Roman"/>
                <w:b/>
                <w:bCs/>
                <w:sz w:val="20"/>
                <w:szCs w:val="20"/>
                <w:lang w:val="en-US" w:eastAsia="fr-FR"/>
              </w:rPr>
            </w:pPr>
            <w:r w:rsidRPr="00016AFB">
              <w:rPr>
                <w:rFonts w:ascii="Times New Roman" w:hAnsi="Times New Roman"/>
                <w:b/>
                <w:bCs/>
                <w:sz w:val="20"/>
                <w:szCs w:val="20"/>
                <w:lang w:eastAsia="fr-FR"/>
              </w:rPr>
              <w:t>Value/</w:t>
            </w:r>
            <w:proofErr w:type="spellStart"/>
            <w:r w:rsidRPr="00016AFB">
              <w:rPr>
                <w:rFonts w:ascii="Times New Roman" w:hAnsi="Times New Roman"/>
                <w:b/>
                <w:bCs/>
                <w:sz w:val="20"/>
                <w:szCs w:val="20"/>
                <w:lang w:eastAsia="fr-FR"/>
              </w:rPr>
              <w:t>Range</w:t>
            </w:r>
            <w:proofErr w:type="spellEnd"/>
          </w:p>
        </w:tc>
      </w:tr>
      <w:tr w:rsidR="002E59F4" w14:paraId="6CB528F8" w14:textId="77777777" w:rsidTr="002E59F4">
        <w:tc>
          <w:tcPr>
            <w:tcW w:w="3020" w:type="dxa"/>
            <w:vAlign w:val="center"/>
          </w:tcPr>
          <w:p w14:paraId="6B02DD68" w14:textId="77777777" w:rsidR="002E59F4" w:rsidRDefault="002E59F4" w:rsidP="002E59F4">
            <w:pPr>
              <w:spacing w:after="0" w:line="240" w:lineRule="auto"/>
              <w:jc w:val="both"/>
              <w:rPr>
                <w:rFonts w:ascii="Times New Roman" w:hAnsi="Times New Roman"/>
                <w:b/>
                <w:bCs/>
                <w:sz w:val="20"/>
                <w:szCs w:val="20"/>
                <w:lang w:val="en-US" w:eastAsia="fr-FR"/>
              </w:rPr>
            </w:pPr>
          </w:p>
        </w:tc>
        <w:tc>
          <w:tcPr>
            <w:tcW w:w="3020" w:type="dxa"/>
            <w:vAlign w:val="center"/>
          </w:tcPr>
          <w:p w14:paraId="67F4CFD9" w14:textId="420A6C06" w:rsidR="002E59F4" w:rsidRDefault="002E59F4" w:rsidP="002E59F4">
            <w:pPr>
              <w:spacing w:after="0" w:line="240" w:lineRule="auto"/>
              <w:jc w:val="both"/>
              <w:rPr>
                <w:rFonts w:ascii="Times New Roman" w:hAnsi="Times New Roman"/>
                <w:b/>
                <w:bCs/>
                <w:sz w:val="20"/>
                <w:szCs w:val="20"/>
                <w:lang w:val="en-US" w:eastAsia="fr-FR"/>
              </w:rPr>
            </w:pPr>
            <w:proofErr w:type="spellStart"/>
            <w:r w:rsidRPr="00016AFB">
              <w:rPr>
                <w:rFonts w:ascii="Times New Roman" w:hAnsi="Times New Roman"/>
                <w:sz w:val="20"/>
                <w:szCs w:val="20"/>
                <w:lang w:eastAsia="fr-FR"/>
              </w:rPr>
              <w:t>Load</w:t>
            </w:r>
            <w:proofErr w:type="spellEnd"/>
            <w:r w:rsidRPr="00016AFB">
              <w:rPr>
                <w:rFonts w:ascii="Times New Roman" w:hAnsi="Times New Roman"/>
                <w:sz w:val="20"/>
                <w:szCs w:val="20"/>
                <w:lang w:eastAsia="fr-FR"/>
              </w:rPr>
              <w:t xml:space="preserve"> </w:t>
            </w:r>
            <w:proofErr w:type="spellStart"/>
            <w:r w:rsidRPr="00016AFB">
              <w:rPr>
                <w:rFonts w:ascii="Times New Roman" w:hAnsi="Times New Roman"/>
                <w:sz w:val="20"/>
                <w:szCs w:val="20"/>
                <w:lang w:eastAsia="fr-FR"/>
              </w:rPr>
              <w:t>factor</w:t>
            </w:r>
            <w:proofErr w:type="spellEnd"/>
          </w:p>
        </w:tc>
        <w:tc>
          <w:tcPr>
            <w:tcW w:w="3020" w:type="dxa"/>
            <w:vAlign w:val="center"/>
          </w:tcPr>
          <w:p w14:paraId="35D6956B" w14:textId="24DF05D6" w:rsidR="002E59F4" w:rsidRDefault="002E59F4" w:rsidP="002E59F4">
            <w:pPr>
              <w:spacing w:after="0" w:line="240" w:lineRule="auto"/>
              <w:jc w:val="both"/>
              <w:rPr>
                <w:rFonts w:ascii="Times New Roman" w:hAnsi="Times New Roman"/>
                <w:b/>
                <w:bCs/>
                <w:sz w:val="20"/>
                <w:szCs w:val="20"/>
                <w:lang w:val="en-US" w:eastAsia="fr-FR"/>
              </w:rPr>
            </w:pPr>
            <w:r w:rsidRPr="00016AFB">
              <w:rPr>
                <w:rFonts w:ascii="Times New Roman" w:hAnsi="Times New Roman"/>
                <w:sz w:val="20"/>
                <w:szCs w:val="20"/>
                <w:lang w:eastAsia="fr-FR"/>
              </w:rPr>
              <w:t>0.85–0.90</w:t>
            </w:r>
          </w:p>
        </w:tc>
      </w:tr>
      <w:tr w:rsidR="002E59F4" w14:paraId="7FE8B550" w14:textId="77777777" w:rsidTr="002E59F4">
        <w:tc>
          <w:tcPr>
            <w:tcW w:w="3020" w:type="dxa"/>
            <w:vAlign w:val="center"/>
          </w:tcPr>
          <w:p w14:paraId="19ED9775" w14:textId="77777777" w:rsidR="002E59F4" w:rsidRDefault="002E59F4" w:rsidP="002E59F4">
            <w:pPr>
              <w:spacing w:after="0" w:line="240" w:lineRule="auto"/>
              <w:jc w:val="both"/>
              <w:rPr>
                <w:rFonts w:ascii="Times New Roman" w:hAnsi="Times New Roman"/>
                <w:b/>
                <w:bCs/>
                <w:sz w:val="20"/>
                <w:szCs w:val="20"/>
                <w:lang w:val="en-US" w:eastAsia="fr-FR"/>
              </w:rPr>
            </w:pPr>
          </w:p>
        </w:tc>
        <w:tc>
          <w:tcPr>
            <w:tcW w:w="3020" w:type="dxa"/>
            <w:vAlign w:val="center"/>
          </w:tcPr>
          <w:p w14:paraId="4AD81E19" w14:textId="1AEFAC8D" w:rsidR="002E59F4" w:rsidRDefault="002E59F4" w:rsidP="002E59F4">
            <w:pPr>
              <w:spacing w:after="0" w:line="240" w:lineRule="auto"/>
              <w:jc w:val="both"/>
              <w:rPr>
                <w:rFonts w:ascii="Times New Roman" w:hAnsi="Times New Roman"/>
                <w:b/>
                <w:bCs/>
                <w:sz w:val="20"/>
                <w:szCs w:val="20"/>
                <w:lang w:val="en-US" w:eastAsia="fr-FR"/>
              </w:rPr>
            </w:pPr>
            <w:proofErr w:type="spellStart"/>
            <w:r w:rsidRPr="00016AFB">
              <w:rPr>
                <w:rFonts w:ascii="Times New Roman" w:hAnsi="Times New Roman"/>
                <w:sz w:val="20"/>
                <w:szCs w:val="20"/>
                <w:lang w:eastAsia="fr-FR"/>
              </w:rPr>
              <w:t>Industrial</w:t>
            </w:r>
            <w:proofErr w:type="spellEnd"/>
            <w:r w:rsidRPr="00016AFB">
              <w:rPr>
                <w:rFonts w:ascii="Times New Roman" w:hAnsi="Times New Roman"/>
                <w:sz w:val="20"/>
                <w:szCs w:val="20"/>
                <w:lang w:eastAsia="fr-FR"/>
              </w:rPr>
              <w:t xml:space="preserve"> </w:t>
            </w:r>
            <w:proofErr w:type="spellStart"/>
            <w:r w:rsidRPr="00016AFB">
              <w:rPr>
                <w:rFonts w:ascii="Times New Roman" w:hAnsi="Times New Roman"/>
                <w:sz w:val="20"/>
                <w:szCs w:val="20"/>
                <w:lang w:eastAsia="fr-FR"/>
              </w:rPr>
              <w:t>growth</w:t>
            </w:r>
            <w:proofErr w:type="spellEnd"/>
            <w:r w:rsidRPr="00016AFB">
              <w:rPr>
                <w:rFonts w:ascii="Times New Roman" w:hAnsi="Times New Roman"/>
                <w:sz w:val="20"/>
                <w:szCs w:val="20"/>
                <w:lang w:eastAsia="fr-FR"/>
              </w:rPr>
              <w:t xml:space="preserve"> </w:t>
            </w:r>
            <w:proofErr w:type="spellStart"/>
            <w:r w:rsidRPr="00016AFB">
              <w:rPr>
                <w:rFonts w:ascii="Times New Roman" w:hAnsi="Times New Roman"/>
                <w:sz w:val="20"/>
                <w:szCs w:val="20"/>
                <w:lang w:eastAsia="fr-FR"/>
              </w:rPr>
              <w:t>rate</w:t>
            </w:r>
            <w:proofErr w:type="spellEnd"/>
          </w:p>
        </w:tc>
        <w:tc>
          <w:tcPr>
            <w:tcW w:w="3020" w:type="dxa"/>
            <w:vAlign w:val="center"/>
          </w:tcPr>
          <w:p w14:paraId="60078091" w14:textId="77BB4D79" w:rsidR="002E59F4" w:rsidRDefault="002E59F4" w:rsidP="002E59F4">
            <w:pPr>
              <w:spacing w:after="0" w:line="240" w:lineRule="auto"/>
              <w:jc w:val="both"/>
              <w:rPr>
                <w:rFonts w:ascii="Times New Roman" w:hAnsi="Times New Roman"/>
                <w:b/>
                <w:bCs/>
                <w:sz w:val="20"/>
                <w:szCs w:val="20"/>
                <w:lang w:val="en-US" w:eastAsia="fr-FR"/>
              </w:rPr>
            </w:pPr>
            <w:r w:rsidRPr="00016AFB">
              <w:rPr>
                <w:rFonts w:ascii="Times New Roman" w:hAnsi="Times New Roman"/>
                <w:sz w:val="20"/>
                <w:szCs w:val="20"/>
                <w:lang w:eastAsia="fr-FR"/>
              </w:rPr>
              <w:t xml:space="preserve">2%–4% </w:t>
            </w:r>
            <w:proofErr w:type="spellStart"/>
            <w:r w:rsidRPr="00016AFB">
              <w:rPr>
                <w:rFonts w:ascii="Times New Roman" w:hAnsi="Times New Roman"/>
                <w:sz w:val="20"/>
                <w:szCs w:val="20"/>
                <w:lang w:eastAsia="fr-FR"/>
              </w:rPr>
              <w:t>annually</w:t>
            </w:r>
            <w:proofErr w:type="spellEnd"/>
          </w:p>
        </w:tc>
      </w:tr>
      <w:tr w:rsidR="002E59F4" w14:paraId="36222A21" w14:textId="77777777" w:rsidTr="002E59F4">
        <w:tc>
          <w:tcPr>
            <w:tcW w:w="3020" w:type="dxa"/>
            <w:vAlign w:val="center"/>
          </w:tcPr>
          <w:p w14:paraId="0C8C89C5" w14:textId="77777777" w:rsidR="002E59F4" w:rsidRDefault="002E59F4" w:rsidP="002E59F4">
            <w:pPr>
              <w:spacing w:after="0" w:line="240" w:lineRule="auto"/>
              <w:jc w:val="both"/>
              <w:rPr>
                <w:rFonts w:ascii="Times New Roman" w:hAnsi="Times New Roman"/>
                <w:b/>
                <w:bCs/>
                <w:sz w:val="20"/>
                <w:szCs w:val="20"/>
                <w:lang w:val="en-US" w:eastAsia="fr-FR"/>
              </w:rPr>
            </w:pPr>
          </w:p>
        </w:tc>
        <w:tc>
          <w:tcPr>
            <w:tcW w:w="3020" w:type="dxa"/>
            <w:vAlign w:val="center"/>
          </w:tcPr>
          <w:p w14:paraId="068DFAAD" w14:textId="67981A42" w:rsidR="002E59F4" w:rsidRDefault="002E59F4" w:rsidP="002E59F4">
            <w:pPr>
              <w:spacing w:after="0" w:line="240" w:lineRule="auto"/>
              <w:jc w:val="both"/>
              <w:rPr>
                <w:rFonts w:ascii="Times New Roman" w:hAnsi="Times New Roman"/>
                <w:b/>
                <w:bCs/>
                <w:sz w:val="20"/>
                <w:szCs w:val="20"/>
                <w:lang w:val="en-US" w:eastAsia="fr-FR"/>
              </w:rPr>
            </w:pPr>
            <w:proofErr w:type="spellStart"/>
            <w:r w:rsidRPr="00016AFB">
              <w:rPr>
                <w:rFonts w:ascii="Times New Roman" w:hAnsi="Times New Roman"/>
                <w:sz w:val="20"/>
                <w:szCs w:val="20"/>
                <w:lang w:eastAsia="fr-FR"/>
              </w:rPr>
              <w:t>Electrification</w:t>
            </w:r>
            <w:proofErr w:type="spellEnd"/>
            <w:r w:rsidRPr="00016AFB">
              <w:rPr>
                <w:rFonts w:ascii="Times New Roman" w:hAnsi="Times New Roman"/>
                <w:sz w:val="20"/>
                <w:szCs w:val="20"/>
                <w:lang w:eastAsia="fr-FR"/>
              </w:rPr>
              <w:t xml:space="preserve"> </w:t>
            </w:r>
            <w:proofErr w:type="spellStart"/>
            <w:r w:rsidRPr="00016AFB">
              <w:rPr>
                <w:rFonts w:ascii="Times New Roman" w:hAnsi="Times New Roman"/>
                <w:sz w:val="20"/>
                <w:szCs w:val="20"/>
                <w:lang w:eastAsia="fr-FR"/>
              </w:rPr>
              <w:t>factor</w:t>
            </w:r>
            <w:proofErr w:type="spellEnd"/>
          </w:p>
        </w:tc>
        <w:tc>
          <w:tcPr>
            <w:tcW w:w="3020" w:type="dxa"/>
            <w:vAlign w:val="center"/>
          </w:tcPr>
          <w:p w14:paraId="0FD6637E" w14:textId="51344731" w:rsidR="002E59F4" w:rsidRDefault="002E59F4" w:rsidP="002E59F4">
            <w:pPr>
              <w:spacing w:after="0" w:line="240" w:lineRule="auto"/>
              <w:jc w:val="both"/>
              <w:rPr>
                <w:rFonts w:ascii="Times New Roman" w:hAnsi="Times New Roman"/>
                <w:b/>
                <w:bCs/>
                <w:sz w:val="20"/>
                <w:szCs w:val="20"/>
                <w:lang w:val="en-US" w:eastAsia="fr-FR"/>
              </w:rPr>
            </w:pPr>
            <w:proofErr w:type="spellStart"/>
            <w:r w:rsidRPr="00016AFB">
              <w:rPr>
                <w:rFonts w:ascii="Times New Roman" w:hAnsi="Times New Roman"/>
                <w:sz w:val="20"/>
                <w:szCs w:val="20"/>
                <w:lang w:eastAsia="fr-FR"/>
              </w:rPr>
              <w:t>Scenario</w:t>
            </w:r>
            <w:proofErr w:type="spellEnd"/>
            <w:r w:rsidRPr="00016AFB">
              <w:rPr>
                <w:rFonts w:ascii="Times New Roman" w:hAnsi="Times New Roman"/>
                <w:sz w:val="20"/>
                <w:szCs w:val="20"/>
                <w:lang w:eastAsia="fr-FR"/>
              </w:rPr>
              <w:t xml:space="preserve"> dependent</w:t>
            </w:r>
          </w:p>
        </w:tc>
      </w:tr>
      <w:tr w:rsidR="002E59F4" w14:paraId="33FCA65D" w14:textId="77777777" w:rsidTr="002E59F4">
        <w:tc>
          <w:tcPr>
            <w:tcW w:w="3020" w:type="dxa"/>
            <w:vAlign w:val="center"/>
          </w:tcPr>
          <w:p w14:paraId="3812B0B1" w14:textId="77777777" w:rsidR="002E59F4" w:rsidRDefault="002E59F4" w:rsidP="002E59F4">
            <w:pPr>
              <w:spacing w:after="0" w:line="240" w:lineRule="auto"/>
              <w:jc w:val="both"/>
              <w:rPr>
                <w:rFonts w:ascii="Times New Roman" w:hAnsi="Times New Roman"/>
                <w:b/>
                <w:bCs/>
                <w:sz w:val="20"/>
                <w:szCs w:val="20"/>
                <w:lang w:val="en-US" w:eastAsia="fr-FR"/>
              </w:rPr>
            </w:pPr>
          </w:p>
        </w:tc>
        <w:tc>
          <w:tcPr>
            <w:tcW w:w="3020" w:type="dxa"/>
            <w:vAlign w:val="center"/>
          </w:tcPr>
          <w:p w14:paraId="40114713" w14:textId="5D9C0E3F" w:rsidR="002E59F4" w:rsidRDefault="002E59F4" w:rsidP="002E59F4">
            <w:pPr>
              <w:spacing w:after="0" w:line="240" w:lineRule="auto"/>
              <w:jc w:val="both"/>
              <w:rPr>
                <w:rFonts w:ascii="Times New Roman" w:hAnsi="Times New Roman"/>
                <w:b/>
                <w:bCs/>
                <w:sz w:val="20"/>
                <w:szCs w:val="20"/>
                <w:lang w:val="en-US" w:eastAsia="fr-FR"/>
              </w:rPr>
            </w:pPr>
            <w:proofErr w:type="spellStart"/>
            <w:r w:rsidRPr="00016AFB">
              <w:rPr>
                <w:rFonts w:ascii="Times New Roman" w:hAnsi="Times New Roman"/>
                <w:sz w:val="20"/>
                <w:szCs w:val="20"/>
                <w:lang w:eastAsia="fr-FR"/>
              </w:rPr>
              <w:t>Distance</w:t>
            </w:r>
            <w:proofErr w:type="spellEnd"/>
            <w:r w:rsidRPr="00016AFB">
              <w:rPr>
                <w:rFonts w:ascii="Times New Roman" w:hAnsi="Times New Roman"/>
                <w:sz w:val="20"/>
                <w:szCs w:val="20"/>
                <w:lang w:eastAsia="fr-FR"/>
              </w:rPr>
              <w:t xml:space="preserve"> </w:t>
            </w:r>
            <w:proofErr w:type="spellStart"/>
            <w:r w:rsidRPr="00016AFB">
              <w:rPr>
                <w:rFonts w:ascii="Times New Roman" w:hAnsi="Times New Roman"/>
                <w:sz w:val="20"/>
                <w:szCs w:val="20"/>
                <w:lang w:eastAsia="fr-FR"/>
              </w:rPr>
              <w:t>site-substation</w:t>
            </w:r>
            <w:proofErr w:type="spellEnd"/>
          </w:p>
        </w:tc>
        <w:tc>
          <w:tcPr>
            <w:tcW w:w="3020" w:type="dxa"/>
            <w:vAlign w:val="center"/>
          </w:tcPr>
          <w:p w14:paraId="71E07665" w14:textId="46DB72DC" w:rsidR="002E59F4" w:rsidRDefault="002E59F4" w:rsidP="002E59F4">
            <w:pPr>
              <w:spacing w:after="0" w:line="240" w:lineRule="auto"/>
              <w:jc w:val="both"/>
              <w:rPr>
                <w:rFonts w:ascii="Times New Roman" w:hAnsi="Times New Roman"/>
                <w:b/>
                <w:bCs/>
                <w:sz w:val="20"/>
                <w:szCs w:val="20"/>
                <w:lang w:val="en-US" w:eastAsia="fr-FR"/>
              </w:rPr>
            </w:pPr>
            <w:r w:rsidRPr="00016AFB">
              <w:rPr>
                <w:rFonts w:ascii="Times New Roman" w:hAnsi="Times New Roman"/>
                <w:sz w:val="20"/>
                <w:szCs w:val="20"/>
                <w:lang w:eastAsia="fr-FR"/>
              </w:rPr>
              <w:t>km (GIS-</w:t>
            </w:r>
            <w:proofErr w:type="spellStart"/>
            <w:r w:rsidRPr="00016AFB">
              <w:rPr>
                <w:rFonts w:ascii="Times New Roman" w:hAnsi="Times New Roman"/>
                <w:sz w:val="20"/>
                <w:szCs w:val="20"/>
                <w:lang w:eastAsia="fr-FR"/>
              </w:rPr>
              <w:t>based</w:t>
            </w:r>
            <w:proofErr w:type="spellEnd"/>
            <w:r w:rsidRPr="00016AFB">
              <w:rPr>
                <w:rFonts w:ascii="Times New Roman" w:hAnsi="Times New Roman"/>
                <w:sz w:val="20"/>
                <w:szCs w:val="20"/>
                <w:lang w:eastAsia="fr-FR"/>
              </w:rPr>
              <w:t>)</w:t>
            </w:r>
          </w:p>
        </w:tc>
      </w:tr>
      <w:tr w:rsidR="002E59F4" w14:paraId="1F6F6EBE" w14:textId="77777777" w:rsidTr="002E59F4">
        <w:tc>
          <w:tcPr>
            <w:tcW w:w="3020" w:type="dxa"/>
            <w:vAlign w:val="center"/>
          </w:tcPr>
          <w:p w14:paraId="4BBA03C5" w14:textId="77777777" w:rsidR="002E59F4" w:rsidRDefault="002E59F4" w:rsidP="002E59F4">
            <w:pPr>
              <w:spacing w:after="0" w:line="240" w:lineRule="auto"/>
              <w:jc w:val="both"/>
              <w:rPr>
                <w:rFonts w:ascii="Times New Roman" w:hAnsi="Times New Roman"/>
                <w:b/>
                <w:bCs/>
                <w:sz w:val="20"/>
                <w:szCs w:val="20"/>
                <w:lang w:val="en-US" w:eastAsia="fr-FR"/>
              </w:rPr>
            </w:pPr>
          </w:p>
        </w:tc>
        <w:tc>
          <w:tcPr>
            <w:tcW w:w="3020" w:type="dxa"/>
            <w:vAlign w:val="center"/>
          </w:tcPr>
          <w:p w14:paraId="3A2F6C71" w14:textId="6BD231F1" w:rsidR="002E59F4" w:rsidRDefault="002E59F4" w:rsidP="002E59F4">
            <w:pPr>
              <w:spacing w:after="0" w:line="240" w:lineRule="auto"/>
              <w:jc w:val="both"/>
              <w:rPr>
                <w:rFonts w:ascii="Times New Roman" w:hAnsi="Times New Roman"/>
                <w:b/>
                <w:bCs/>
                <w:sz w:val="20"/>
                <w:szCs w:val="20"/>
                <w:lang w:val="en-US" w:eastAsia="fr-FR"/>
              </w:rPr>
            </w:pPr>
            <w:proofErr w:type="spellStart"/>
            <w:r w:rsidRPr="00016AFB">
              <w:rPr>
                <w:rFonts w:ascii="Times New Roman" w:hAnsi="Times New Roman"/>
                <w:sz w:val="20"/>
                <w:szCs w:val="20"/>
                <w:lang w:eastAsia="fr-FR"/>
              </w:rPr>
              <w:t>Projected</w:t>
            </w:r>
            <w:proofErr w:type="spellEnd"/>
            <w:r w:rsidRPr="00016AFB">
              <w:rPr>
                <w:rFonts w:ascii="Times New Roman" w:hAnsi="Times New Roman"/>
                <w:sz w:val="20"/>
                <w:szCs w:val="20"/>
                <w:lang w:eastAsia="fr-FR"/>
              </w:rPr>
              <w:t xml:space="preserve"> </w:t>
            </w:r>
            <w:proofErr w:type="spellStart"/>
            <w:r w:rsidRPr="00016AFB">
              <w:rPr>
                <w:rFonts w:ascii="Times New Roman" w:hAnsi="Times New Roman"/>
                <w:sz w:val="20"/>
                <w:szCs w:val="20"/>
                <w:lang w:eastAsia="fr-FR"/>
              </w:rPr>
              <w:t>demand</w:t>
            </w:r>
            <w:proofErr w:type="spellEnd"/>
            <w:r w:rsidRPr="00016AFB">
              <w:rPr>
                <w:rFonts w:ascii="Times New Roman" w:hAnsi="Times New Roman"/>
                <w:sz w:val="20"/>
                <w:szCs w:val="20"/>
                <w:lang w:eastAsia="fr-FR"/>
              </w:rPr>
              <w:t xml:space="preserve"> per </w:t>
            </w:r>
            <w:proofErr w:type="spellStart"/>
            <w:r w:rsidRPr="00016AFB">
              <w:rPr>
                <w:rFonts w:ascii="Times New Roman" w:hAnsi="Times New Roman"/>
                <w:sz w:val="20"/>
                <w:szCs w:val="20"/>
                <w:lang w:eastAsia="fr-FR"/>
              </w:rPr>
              <w:t>site</w:t>
            </w:r>
            <w:proofErr w:type="spellEnd"/>
          </w:p>
        </w:tc>
        <w:tc>
          <w:tcPr>
            <w:tcW w:w="3020" w:type="dxa"/>
            <w:vAlign w:val="center"/>
          </w:tcPr>
          <w:p w14:paraId="485FF6A7" w14:textId="79D2EA73" w:rsidR="002E59F4" w:rsidRDefault="002E59F4" w:rsidP="002E59F4">
            <w:pPr>
              <w:spacing w:after="0" w:line="240" w:lineRule="auto"/>
              <w:jc w:val="both"/>
              <w:rPr>
                <w:rFonts w:ascii="Times New Roman" w:hAnsi="Times New Roman"/>
                <w:b/>
                <w:bCs/>
                <w:sz w:val="20"/>
                <w:szCs w:val="20"/>
                <w:lang w:val="en-US" w:eastAsia="fr-FR"/>
              </w:rPr>
            </w:pPr>
            <w:r w:rsidRPr="00016AFB">
              <w:rPr>
                <w:rFonts w:ascii="Times New Roman" w:hAnsi="Times New Roman"/>
                <w:sz w:val="20"/>
                <w:szCs w:val="20"/>
                <w:lang w:eastAsia="fr-FR"/>
              </w:rPr>
              <w:t>MW</w:t>
            </w:r>
          </w:p>
        </w:tc>
      </w:tr>
      <w:tr w:rsidR="002E59F4" w14:paraId="559910CC" w14:textId="77777777" w:rsidTr="002E59F4">
        <w:tc>
          <w:tcPr>
            <w:tcW w:w="3020" w:type="dxa"/>
            <w:vAlign w:val="center"/>
          </w:tcPr>
          <w:p w14:paraId="4F6B4D9C" w14:textId="77777777" w:rsidR="002E59F4" w:rsidRDefault="002E59F4" w:rsidP="002E59F4">
            <w:pPr>
              <w:spacing w:after="0" w:line="240" w:lineRule="auto"/>
              <w:jc w:val="both"/>
              <w:rPr>
                <w:rFonts w:ascii="Times New Roman" w:hAnsi="Times New Roman"/>
                <w:b/>
                <w:bCs/>
                <w:sz w:val="20"/>
                <w:szCs w:val="20"/>
                <w:lang w:val="en-US" w:eastAsia="fr-FR"/>
              </w:rPr>
            </w:pPr>
          </w:p>
        </w:tc>
        <w:tc>
          <w:tcPr>
            <w:tcW w:w="3020" w:type="dxa"/>
            <w:vAlign w:val="center"/>
          </w:tcPr>
          <w:p w14:paraId="628D2CB1" w14:textId="6C263FA3" w:rsidR="002E59F4" w:rsidRPr="00016AFB" w:rsidRDefault="002E59F4" w:rsidP="002E59F4">
            <w:pPr>
              <w:spacing w:after="0" w:line="240" w:lineRule="auto"/>
              <w:jc w:val="both"/>
              <w:rPr>
                <w:rFonts w:ascii="Times New Roman" w:hAnsi="Times New Roman"/>
                <w:sz w:val="20"/>
                <w:szCs w:val="20"/>
                <w:lang w:eastAsia="fr-FR"/>
              </w:rPr>
            </w:pPr>
            <w:proofErr w:type="spellStart"/>
            <w:r w:rsidRPr="00016AFB">
              <w:rPr>
                <w:rFonts w:ascii="Times New Roman" w:hAnsi="Times New Roman"/>
                <w:sz w:val="20"/>
                <w:szCs w:val="20"/>
                <w:lang w:eastAsia="fr-FR"/>
              </w:rPr>
              <w:t>Substation</w:t>
            </w:r>
            <w:proofErr w:type="spellEnd"/>
            <w:r w:rsidRPr="00016AFB">
              <w:rPr>
                <w:rFonts w:ascii="Times New Roman" w:hAnsi="Times New Roman"/>
                <w:sz w:val="20"/>
                <w:szCs w:val="20"/>
                <w:lang w:eastAsia="fr-FR"/>
              </w:rPr>
              <w:t xml:space="preserve"> </w:t>
            </w:r>
            <w:proofErr w:type="spellStart"/>
            <w:r w:rsidRPr="00016AFB">
              <w:rPr>
                <w:rFonts w:ascii="Times New Roman" w:hAnsi="Times New Roman"/>
                <w:sz w:val="20"/>
                <w:szCs w:val="20"/>
                <w:lang w:eastAsia="fr-FR"/>
              </w:rPr>
              <w:t>headroom</w:t>
            </w:r>
            <w:proofErr w:type="spellEnd"/>
          </w:p>
        </w:tc>
        <w:tc>
          <w:tcPr>
            <w:tcW w:w="3020" w:type="dxa"/>
            <w:vAlign w:val="center"/>
          </w:tcPr>
          <w:p w14:paraId="5CF86607" w14:textId="12643C90" w:rsidR="002E59F4" w:rsidRPr="00016AFB" w:rsidRDefault="002E59F4" w:rsidP="002E59F4">
            <w:pPr>
              <w:spacing w:after="0" w:line="240" w:lineRule="auto"/>
              <w:jc w:val="both"/>
              <w:rPr>
                <w:rFonts w:ascii="Times New Roman" w:hAnsi="Times New Roman"/>
                <w:sz w:val="20"/>
                <w:szCs w:val="20"/>
                <w:lang w:eastAsia="fr-FR"/>
              </w:rPr>
            </w:pPr>
            <w:r w:rsidRPr="00016AFB">
              <w:rPr>
                <w:rFonts w:ascii="Times New Roman" w:hAnsi="Times New Roman"/>
                <w:sz w:val="20"/>
                <w:szCs w:val="20"/>
                <w:lang w:eastAsia="fr-FR"/>
              </w:rPr>
              <w:t>MW</w:t>
            </w:r>
          </w:p>
        </w:tc>
      </w:tr>
    </w:tbl>
    <w:p w14:paraId="74800DFB" w14:textId="77777777" w:rsidR="002E59F4" w:rsidRPr="002E59F4" w:rsidRDefault="002E59F4" w:rsidP="00016AFB">
      <w:pPr>
        <w:spacing w:after="0" w:line="240" w:lineRule="auto"/>
        <w:jc w:val="both"/>
        <w:rPr>
          <w:rFonts w:ascii="Times New Roman" w:hAnsi="Times New Roman"/>
          <w:b/>
          <w:bCs/>
          <w:sz w:val="20"/>
          <w:szCs w:val="20"/>
          <w:lang w:val="en-US" w:eastAsia="fr-FR"/>
        </w:rPr>
      </w:pPr>
    </w:p>
    <w:p w14:paraId="600808ED" w14:textId="02529322" w:rsidR="00016AFB" w:rsidRPr="002E59F4" w:rsidRDefault="00016AFB" w:rsidP="00016AFB">
      <w:pPr>
        <w:spacing w:after="0" w:line="240" w:lineRule="auto"/>
        <w:jc w:val="both"/>
        <w:rPr>
          <w:rFonts w:ascii="Times New Roman" w:hAnsi="Times New Roman"/>
          <w:b/>
          <w:bCs/>
          <w:sz w:val="20"/>
          <w:szCs w:val="20"/>
          <w:lang w:val="en-US" w:eastAsia="fr-FR"/>
        </w:rPr>
      </w:pPr>
      <w:r w:rsidRPr="002E59F4">
        <w:rPr>
          <w:rFonts w:ascii="Times New Roman" w:hAnsi="Times New Roman"/>
          <w:b/>
          <w:bCs/>
          <w:sz w:val="20"/>
          <w:szCs w:val="20"/>
          <w:lang w:val="en-US" w:eastAsia="fr-FR"/>
        </w:rPr>
        <w:lastRenderedPageBreak/>
        <w:t>A.3. Scenario Definitions</w:t>
      </w:r>
    </w:p>
    <w:p w14:paraId="2F4B5F30" w14:textId="77777777" w:rsidR="00016AFB" w:rsidRPr="002E59F4" w:rsidRDefault="00016AFB" w:rsidP="00016AFB">
      <w:pPr>
        <w:spacing w:after="0" w:line="240" w:lineRule="auto"/>
        <w:jc w:val="both"/>
        <w:rPr>
          <w:rFonts w:ascii="Times New Roman" w:hAnsi="Times New Roman"/>
          <w:sz w:val="20"/>
          <w:szCs w:val="20"/>
          <w:lang w:val="en-US" w:eastAsia="fr-FR"/>
        </w:rPr>
      </w:pPr>
      <w:r w:rsidRPr="002E59F4">
        <w:rPr>
          <w:rFonts w:ascii="Times New Roman" w:hAnsi="Times New Roman"/>
          <w:b/>
          <w:bCs/>
          <w:sz w:val="20"/>
          <w:szCs w:val="20"/>
          <w:lang w:val="en-US" w:eastAsia="fr-FR"/>
        </w:rPr>
        <w:t>Business-as-Usual (BAU):</w:t>
      </w:r>
    </w:p>
    <w:p w14:paraId="798F8E46" w14:textId="77777777" w:rsidR="00016AFB" w:rsidRPr="002E59F4" w:rsidRDefault="00016AFB">
      <w:pPr>
        <w:numPr>
          <w:ilvl w:val="0"/>
          <w:numId w:val="34"/>
        </w:numPr>
        <w:spacing w:after="0" w:line="240" w:lineRule="auto"/>
        <w:jc w:val="both"/>
        <w:rPr>
          <w:rFonts w:ascii="Times New Roman" w:hAnsi="Times New Roman"/>
          <w:sz w:val="20"/>
          <w:szCs w:val="20"/>
          <w:lang w:eastAsia="fr-FR"/>
        </w:rPr>
      </w:pPr>
      <w:proofErr w:type="spellStart"/>
      <w:r w:rsidRPr="002E59F4">
        <w:rPr>
          <w:rFonts w:ascii="Times New Roman" w:hAnsi="Times New Roman"/>
          <w:sz w:val="20"/>
          <w:szCs w:val="20"/>
          <w:lang w:eastAsia="fr-FR"/>
        </w:rPr>
        <w:t>Low</w:t>
      </w:r>
      <w:proofErr w:type="spellEnd"/>
      <w:r w:rsidRPr="002E59F4">
        <w:rPr>
          <w:rFonts w:ascii="Times New Roman" w:hAnsi="Times New Roman"/>
          <w:sz w:val="20"/>
          <w:szCs w:val="20"/>
          <w:lang w:eastAsia="fr-FR"/>
        </w:rPr>
        <w:t xml:space="preserve"> </w:t>
      </w:r>
      <w:proofErr w:type="spellStart"/>
      <w:r w:rsidRPr="002E59F4">
        <w:rPr>
          <w:rFonts w:ascii="Times New Roman" w:hAnsi="Times New Roman"/>
          <w:sz w:val="20"/>
          <w:szCs w:val="20"/>
          <w:lang w:eastAsia="fr-FR"/>
        </w:rPr>
        <w:t>electrification</w:t>
      </w:r>
      <w:proofErr w:type="spellEnd"/>
      <w:r w:rsidRPr="002E59F4">
        <w:rPr>
          <w:rFonts w:ascii="Times New Roman" w:hAnsi="Times New Roman"/>
          <w:sz w:val="20"/>
          <w:szCs w:val="20"/>
          <w:lang w:eastAsia="fr-FR"/>
        </w:rPr>
        <w:t xml:space="preserve"> </w:t>
      </w:r>
      <w:proofErr w:type="spellStart"/>
      <w:r w:rsidRPr="002E59F4">
        <w:rPr>
          <w:rFonts w:ascii="Times New Roman" w:hAnsi="Times New Roman"/>
          <w:sz w:val="20"/>
          <w:szCs w:val="20"/>
          <w:lang w:eastAsia="fr-FR"/>
        </w:rPr>
        <w:t>uptake</w:t>
      </w:r>
      <w:proofErr w:type="spellEnd"/>
      <w:r w:rsidRPr="002E59F4">
        <w:rPr>
          <w:rFonts w:ascii="Times New Roman" w:hAnsi="Times New Roman"/>
          <w:sz w:val="20"/>
          <w:szCs w:val="20"/>
          <w:lang w:eastAsia="fr-FR"/>
        </w:rPr>
        <w:t xml:space="preserve"> (&lt;20%)</w:t>
      </w:r>
    </w:p>
    <w:p w14:paraId="13520B78" w14:textId="77777777" w:rsidR="00016AFB" w:rsidRPr="002E59F4" w:rsidRDefault="00016AFB">
      <w:pPr>
        <w:numPr>
          <w:ilvl w:val="0"/>
          <w:numId w:val="34"/>
        </w:numPr>
        <w:spacing w:after="0" w:line="240" w:lineRule="auto"/>
        <w:jc w:val="both"/>
        <w:rPr>
          <w:rFonts w:ascii="Times New Roman" w:hAnsi="Times New Roman"/>
          <w:sz w:val="20"/>
          <w:szCs w:val="20"/>
          <w:lang w:val="en-US" w:eastAsia="fr-FR"/>
        </w:rPr>
      </w:pPr>
      <w:r w:rsidRPr="002E59F4">
        <w:rPr>
          <w:rFonts w:ascii="Times New Roman" w:hAnsi="Times New Roman"/>
          <w:sz w:val="20"/>
          <w:szCs w:val="20"/>
          <w:lang w:val="en-US" w:eastAsia="fr-FR"/>
        </w:rPr>
        <w:t>Efficiency improvements capped at historical levels</w:t>
      </w:r>
    </w:p>
    <w:p w14:paraId="4D8EADC5" w14:textId="77777777" w:rsidR="00016AFB" w:rsidRPr="002E59F4" w:rsidRDefault="00016AFB">
      <w:pPr>
        <w:numPr>
          <w:ilvl w:val="0"/>
          <w:numId w:val="34"/>
        </w:numPr>
        <w:spacing w:after="0" w:line="240" w:lineRule="auto"/>
        <w:jc w:val="both"/>
        <w:rPr>
          <w:rFonts w:ascii="Times New Roman" w:hAnsi="Times New Roman"/>
          <w:sz w:val="20"/>
          <w:szCs w:val="20"/>
          <w:lang w:eastAsia="fr-FR"/>
        </w:rPr>
      </w:pPr>
      <w:r w:rsidRPr="002E59F4">
        <w:rPr>
          <w:rFonts w:ascii="Times New Roman" w:hAnsi="Times New Roman"/>
          <w:sz w:val="20"/>
          <w:szCs w:val="20"/>
          <w:lang w:eastAsia="fr-FR"/>
        </w:rPr>
        <w:t xml:space="preserve">No </w:t>
      </w:r>
      <w:proofErr w:type="spellStart"/>
      <w:r w:rsidRPr="002E59F4">
        <w:rPr>
          <w:rFonts w:ascii="Times New Roman" w:hAnsi="Times New Roman"/>
          <w:sz w:val="20"/>
          <w:szCs w:val="20"/>
          <w:lang w:eastAsia="fr-FR"/>
        </w:rPr>
        <w:t>grid</w:t>
      </w:r>
      <w:proofErr w:type="spellEnd"/>
      <w:r w:rsidRPr="002E59F4">
        <w:rPr>
          <w:rFonts w:ascii="Times New Roman" w:hAnsi="Times New Roman"/>
          <w:sz w:val="20"/>
          <w:szCs w:val="20"/>
          <w:lang w:eastAsia="fr-FR"/>
        </w:rPr>
        <w:t xml:space="preserve"> </w:t>
      </w:r>
      <w:proofErr w:type="spellStart"/>
      <w:r w:rsidRPr="002E59F4">
        <w:rPr>
          <w:rFonts w:ascii="Times New Roman" w:hAnsi="Times New Roman"/>
          <w:sz w:val="20"/>
          <w:szCs w:val="20"/>
          <w:lang w:eastAsia="fr-FR"/>
        </w:rPr>
        <w:t>modernization</w:t>
      </w:r>
      <w:proofErr w:type="spellEnd"/>
    </w:p>
    <w:p w14:paraId="75AD3ABA" w14:textId="77777777" w:rsidR="00016AFB" w:rsidRPr="002E59F4" w:rsidRDefault="00016AFB" w:rsidP="00016AFB">
      <w:pPr>
        <w:spacing w:after="0" w:line="240" w:lineRule="auto"/>
        <w:jc w:val="both"/>
        <w:rPr>
          <w:rFonts w:ascii="Times New Roman" w:hAnsi="Times New Roman"/>
          <w:sz w:val="20"/>
          <w:szCs w:val="20"/>
          <w:lang w:eastAsia="fr-FR"/>
        </w:rPr>
      </w:pPr>
      <w:proofErr w:type="spellStart"/>
      <w:r w:rsidRPr="002E59F4">
        <w:rPr>
          <w:rFonts w:ascii="Times New Roman" w:hAnsi="Times New Roman"/>
          <w:b/>
          <w:bCs/>
          <w:sz w:val="20"/>
          <w:szCs w:val="20"/>
          <w:lang w:eastAsia="fr-FR"/>
        </w:rPr>
        <w:t>Balanced</w:t>
      </w:r>
      <w:proofErr w:type="spellEnd"/>
      <w:r w:rsidRPr="002E59F4">
        <w:rPr>
          <w:rFonts w:ascii="Times New Roman" w:hAnsi="Times New Roman"/>
          <w:b/>
          <w:bCs/>
          <w:sz w:val="20"/>
          <w:szCs w:val="20"/>
          <w:lang w:eastAsia="fr-FR"/>
        </w:rPr>
        <w:t xml:space="preserve"> </w:t>
      </w:r>
      <w:proofErr w:type="spellStart"/>
      <w:r w:rsidRPr="002E59F4">
        <w:rPr>
          <w:rFonts w:ascii="Times New Roman" w:hAnsi="Times New Roman"/>
          <w:b/>
          <w:bCs/>
          <w:sz w:val="20"/>
          <w:szCs w:val="20"/>
          <w:lang w:eastAsia="fr-FR"/>
        </w:rPr>
        <w:t>Decarbonization</w:t>
      </w:r>
      <w:proofErr w:type="spellEnd"/>
      <w:r w:rsidRPr="002E59F4">
        <w:rPr>
          <w:rFonts w:ascii="Times New Roman" w:hAnsi="Times New Roman"/>
          <w:b/>
          <w:bCs/>
          <w:sz w:val="20"/>
          <w:szCs w:val="20"/>
          <w:lang w:eastAsia="fr-FR"/>
        </w:rPr>
        <w:t>:</w:t>
      </w:r>
    </w:p>
    <w:p w14:paraId="11B2DB72" w14:textId="77777777" w:rsidR="00016AFB" w:rsidRPr="002E59F4" w:rsidRDefault="00016AFB">
      <w:pPr>
        <w:numPr>
          <w:ilvl w:val="0"/>
          <w:numId w:val="35"/>
        </w:numPr>
        <w:spacing w:after="0" w:line="240" w:lineRule="auto"/>
        <w:jc w:val="both"/>
        <w:rPr>
          <w:rFonts w:ascii="Times New Roman" w:hAnsi="Times New Roman"/>
          <w:sz w:val="20"/>
          <w:szCs w:val="20"/>
          <w:lang w:eastAsia="fr-FR"/>
        </w:rPr>
      </w:pPr>
      <w:proofErr w:type="spellStart"/>
      <w:r w:rsidRPr="002E59F4">
        <w:rPr>
          <w:rFonts w:ascii="Times New Roman" w:hAnsi="Times New Roman"/>
          <w:sz w:val="20"/>
          <w:szCs w:val="20"/>
          <w:lang w:eastAsia="fr-FR"/>
        </w:rPr>
        <w:t>Moderate</w:t>
      </w:r>
      <w:proofErr w:type="spellEnd"/>
      <w:r w:rsidRPr="002E59F4">
        <w:rPr>
          <w:rFonts w:ascii="Times New Roman" w:hAnsi="Times New Roman"/>
          <w:sz w:val="20"/>
          <w:szCs w:val="20"/>
          <w:lang w:eastAsia="fr-FR"/>
        </w:rPr>
        <w:t xml:space="preserve"> </w:t>
      </w:r>
      <w:proofErr w:type="spellStart"/>
      <w:r w:rsidRPr="002E59F4">
        <w:rPr>
          <w:rFonts w:ascii="Times New Roman" w:hAnsi="Times New Roman"/>
          <w:sz w:val="20"/>
          <w:szCs w:val="20"/>
          <w:lang w:eastAsia="fr-FR"/>
        </w:rPr>
        <w:t>electrification</w:t>
      </w:r>
      <w:proofErr w:type="spellEnd"/>
      <w:r w:rsidRPr="002E59F4">
        <w:rPr>
          <w:rFonts w:ascii="Times New Roman" w:hAnsi="Times New Roman"/>
          <w:sz w:val="20"/>
          <w:szCs w:val="20"/>
          <w:lang w:eastAsia="fr-FR"/>
        </w:rPr>
        <w:t xml:space="preserve"> (~40–60%)</w:t>
      </w:r>
    </w:p>
    <w:p w14:paraId="15997138" w14:textId="77777777" w:rsidR="00016AFB" w:rsidRPr="002E59F4" w:rsidRDefault="00016AFB">
      <w:pPr>
        <w:numPr>
          <w:ilvl w:val="0"/>
          <w:numId w:val="35"/>
        </w:numPr>
        <w:spacing w:after="0" w:line="240" w:lineRule="auto"/>
        <w:jc w:val="both"/>
        <w:rPr>
          <w:rFonts w:ascii="Times New Roman" w:hAnsi="Times New Roman"/>
          <w:sz w:val="20"/>
          <w:szCs w:val="20"/>
          <w:lang w:eastAsia="fr-FR"/>
        </w:rPr>
      </w:pPr>
      <w:r w:rsidRPr="002E59F4">
        <w:rPr>
          <w:rFonts w:ascii="Times New Roman" w:hAnsi="Times New Roman"/>
          <w:sz w:val="20"/>
          <w:szCs w:val="20"/>
          <w:lang w:eastAsia="fr-FR"/>
        </w:rPr>
        <w:t xml:space="preserve">Energy </w:t>
      </w:r>
      <w:proofErr w:type="spellStart"/>
      <w:r w:rsidRPr="002E59F4">
        <w:rPr>
          <w:rFonts w:ascii="Times New Roman" w:hAnsi="Times New Roman"/>
          <w:sz w:val="20"/>
          <w:szCs w:val="20"/>
          <w:lang w:eastAsia="fr-FR"/>
        </w:rPr>
        <w:t>efficiency</w:t>
      </w:r>
      <w:proofErr w:type="spellEnd"/>
      <w:r w:rsidRPr="002E59F4">
        <w:rPr>
          <w:rFonts w:ascii="Times New Roman" w:hAnsi="Times New Roman"/>
          <w:sz w:val="20"/>
          <w:szCs w:val="20"/>
          <w:lang w:eastAsia="fr-FR"/>
        </w:rPr>
        <w:t xml:space="preserve"> </w:t>
      </w:r>
      <w:proofErr w:type="spellStart"/>
      <w:r w:rsidRPr="002E59F4">
        <w:rPr>
          <w:rFonts w:ascii="Times New Roman" w:hAnsi="Times New Roman"/>
          <w:sz w:val="20"/>
          <w:szCs w:val="20"/>
          <w:lang w:eastAsia="fr-FR"/>
        </w:rPr>
        <w:t>programs</w:t>
      </w:r>
      <w:proofErr w:type="spellEnd"/>
      <w:r w:rsidRPr="002E59F4">
        <w:rPr>
          <w:rFonts w:ascii="Times New Roman" w:hAnsi="Times New Roman"/>
          <w:sz w:val="20"/>
          <w:szCs w:val="20"/>
          <w:lang w:eastAsia="fr-FR"/>
        </w:rPr>
        <w:t xml:space="preserve"> </w:t>
      </w:r>
      <w:proofErr w:type="spellStart"/>
      <w:r w:rsidRPr="002E59F4">
        <w:rPr>
          <w:rFonts w:ascii="Times New Roman" w:hAnsi="Times New Roman"/>
          <w:sz w:val="20"/>
          <w:szCs w:val="20"/>
          <w:lang w:eastAsia="fr-FR"/>
        </w:rPr>
        <w:t>implemented</w:t>
      </w:r>
      <w:proofErr w:type="spellEnd"/>
    </w:p>
    <w:p w14:paraId="3A992BCA" w14:textId="77777777" w:rsidR="00016AFB" w:rsidRPr="002E59F4" w:rsidRDefault="00016AFB">
      <w:pPr>
        <w:numPr>
          <w:ilvl w:val="0"/>
          <w:numId w:val="35"/>
        </w:numPr>
        <w:spacing w:after="0" w:line="240" w:lineRule="auto"/>
        <w:jc w:val="both"/>
        <w:rPr>
          <w:rFonts w:ascii="Times New Roman" w:hAnsi="Times New Roman"/>
          <w:sz w:val="20"/>
          <w:szCs w:val="20"/>
          <w:lang w:eastAsia="fr-FR"/>
        </w:rPr>
      </w:pPr>
      <w:proofErr w:type="spellStart"/>
      <w:r w:rsidRPr="002E59F4">
        <w:rPr>
          <w:rFonts w:ascii="Times New Roman" w:hAnsi="Times New Roman"/>
          <w:sz w:val="20"/>
          <w:szCs w:val="20"/>
          <w:lang w:eastAsia="fr-FR"/>
        </w:rPr>
        <w:t>Some</w:t>
      </w:r>
      <w:proofErr w:type="spellEnd"/>
      <w:r w:rsidRPr="002E59F4">
        <w:rPr>
          <w:rFonts w:ascii="Times New Roman" w:hAnsi="Times New Roman"/>
          <w:sz w:val="20"/>
          <w:szCs w:val="20"/>
          <w:lang w:eastAsia="fr-FR"/>
        </w:rPr>
        <w:t xml:space="preserve"> </w:t>
      </w:r>
      <w:proofErr w:type="spellStart"/>
      <w:r w:rsidRPr="002E59F4">
        <w:rPr>
          <w:rFonts w:ascii="Times New Roman" w:hAnsi="Times New Roman"/>
          <w:sz w:val="20"/>
          <w:szCs w:val="20"/>
          <w:lang w:eastAsia="fr-FR"/>
        </w:rPr>
        <w:t>substation</w:t>
      </w:r>
      <w:proofErr w:type="spellEnd"/>
      <w:r w:rsidRPr="002E59F4">
        <w:rPr>
          <w:rFonts w:ascii="Times New Roman" w:hAnsi="Times New Roman"/>
          <w:sz w:val="20"/>
          <w:szCs w:val="20"/>
          <w:lang w:eastAsia="fr-FR"/>
        </w:rPr>
        <w:t xml:space="preserve"> and </w:t>
      </w:r>
      <w:proofErr w:type="spellStart"/>
      <w:r w:rsidRPr="002E59F4">
        <w:rPr>
          <w:rFonts w:ascii="Times New Roman" w:hAnsi="Times New Roman"/>
          <w:sz w:val="20"/>
          <w:szCs w:val="20"/>
          <w:lang w:eastAsia="fr-FR"/>
        </w:rPr>
        <w:t>transmission</w:t>
      </w:r>
      <w:proofErr w:type="spellEnd"/>
      <w:r w:rsidRPr="002E59F4">
        <w:rPr>
          <w:rFonts w:ascii="Times New Roman" w:hAnsi="Times New Roman"/>
          <w:sz w:val="20"/>
          <w:szCs w:val="20"/>
          <w:lang w:eastAsia="fr-FR"/>
        </w:rPr>
        <w:t xml:space="preserve"> </w:t>
      </w:r>
      <w:proofErr w:type="spellStart"/>
      <w:r w:rsidRPr="002E59F4">
        <w:rPr>
          <w:rFonts w:ascii="Times New Roman" w:hAnsi="Times New Roman"/>
          <w:sz w:val="20"/>
          <w:szCs w:val="20"/>
          <w:lang w:eastAsia="fr-FR"/>
        </w:rPr>
        <w:t>reinforcement</w:t>
      </w:r>
      <w:proofErr w:type="spellEnd"/>
    </w:p>
    <w:p w14:paraId="2131B1F0" w14:textId="5D1B059F" w:rsidR="00016AFB" w:rsidRPr="002E59F4" w:rsidRDefault="00016AFB" w:rsidP="00016AFB">
      <w:pPr>
        <w:spacing w:after="0" w:line="240" w:lineRule="auto"/>
        <w:jc w:val="both"/>
        <w:rPr>
          <w:rFonts w:ascii="Times New Roman" w:hAnsi="Times New Roman"/>
          <w:sz w:val="20"/>
          <w:szCs w:val="20"/>
          <w:lang w:eastAsia="fr-FR"/>
        </w:rPr>
      </w:pPr>
      <w:r w:rsidRPr="002E59F4">
        <w:rPr>
          <w:rFonts w:ascii="Times New Roman" w:hAnsi="Times New Roman"/>
          <w:b/>
          <w:bCs/>
          <w:sz w:val="20"/>
          <w:szCs w:val="20"/>
          <w:lang w:eastAsia="fr-FR"/>
        </w:rPr>
        <w:t xml:space="preserve">Max </w:t>
      </w:r>
      <w:proofErr w:type="spellStart"/>
      <w:r w:rsidRPr="002E59F4">
        <w:rPr>
          <w:rFonts w:ascii="Times New Roman" w:hAnsi="Times New Roman"/>
          <w:b/>
          <w:bCs/>
          <w:sz w:val="20"/>
          <w:szCs w:val="20"/>
          <w:lang w:eastAsia="fr-FR"/>
        </w:rPr>
        <w:t>Electrification</w:t>
      </w:r>
      <w:proofErr w:type="spellEnd"/>
      <w:r w:rsidRPr="002E59F4">
        <w:rPr>
          <w:rFonts w:ascii="Times New Roman" w:hAnsi="Times New Roman"/>
          <w:b/>
          <w:bCs/>
          <w:sz w:val="20"/>
          <w:szCs w:val="20"/>
          <w:lang w:eastAsia="fr-FR"/>
        </w:rPr>
        <w:t>:</w:t>
      </w:r>
    </w:p>
    <w:p w14:paraId="0A83F798" w14:textId="77777777" w:rsidR="00016AFB" w:rsidRPr="002E59F4" w:rsidRDefault="00016AFB">
      <w:pPr>
        <w:numPr>
          <w:ilvl w:val="0"/>
          <w:numId w:val="36"/>
        </w:numPr>
        <w:spacing w:after="0" w:line="240" w:lineRule="auto"/>
        <w:jc w:val="both"/>
        <w:rPr>
          <w:rFonts w:ascii="Times New Roman" w:hAnsi="Times New Roman"/>
          <w:sz w:val="20"/>
          <w:szCs w:val="20"/>
          <w:lang w:eastAsia="fr-FR"/>
        </w:rPr>
      </w:pPr>
      <w:proofErr w:type="spellStart"/>
      <w:r w:rsidRPr="002E59F4">
        <w:rPr>
          <w:rFonts w:ascii="Times New Roman" w:hAnsi="Times New Roman"/>
          <w:sz w:val="20"/>
          <w:szCs w:val="20"/>
          <w:lang w:eastAsia="fr-FR"/>
        </w:rPr>
        <w:t>Aggressive</w:t>
      </w:r>
      <w:proofErr w:type="spellEnd"/>
      <w:r w:rsidRPr="002E59F4">
        <w:rPr>
          <w:rFonts w:ascii="Times New Roman" w:hAnsi="Times New Roman"/>
          <w:sz w:val="20"/>
          <w:szCs w:val="20"/>
          <w:lang w:eastAsia="fr-FR"/>
        </w:rPr>
        <w:t xml:space="preserve"> </w:t>
      </w:r>
      <w:proofErr w:type="spellStart"/>
      <w:r w:rsidRPr="002E59F4">
        <w:rPr>
          <w:rFonts w:ascii="Times New Roman" w:hAnsi="Times New Roman"/>
          <w:sz w:val="20"/>
          <w:szCs w:val="20"/>
          <w:lang w:eastAsia="fr-FR"/>
        </w:rPr>
        <w:t>electrification</w:t>
      </w:r>
      <w:proofErr w:type="spellEnd"/>
      <w:r w:rsidRPr="002E59F4">
        <w:rPr>
          <w:rFonts w:ascii="Times New Roman" w:hAnsi="Times New Roman"/>
          <w:sz w:val="20"/>
          <w:szCs w:val="20"/>
          <w:lang w:eastAsia="fr-FR"/>
        </w:rPr>
        <w:t xml:space="preserve"> (&gt;70%)</w:t>
      </w:r>
    </w:p>
    <w:p w14:paraId="03BE2690" w14:textId="77777777" w:rsidR="00016AFB" w:rsidRPr="002E59F4" w:rsidRDefault="00016AFB">
      <w:pPr>
        <w:numPr>
          <w:ilvl w:val="0"/>
          <w:numId w:val="36"/>
        </w:numPr>
        <w:spacing w:after="0" w:line="240" w:lineRule="auto"/>
        <w:jc w:val="both"/>
        <w:rPr>
          <w:rFonts w:ascii="Times New Roman" w:hAnsi="Times New Roman"/>
          <w:sz w:val="20"/>
          <w:szCs w:val="20"/>
          <w:lang w:val="en-US" w:eastAsia="fr-FR"/>
        </w:rPr>
      </w:pPr>
      <w:r w:rsidRPr="002E59F4">
        <w:rPr>
          <w:rFonts w:ascii="Times New Roman" w:hAnsi="Times New Roman"/>
          <w:sz w:val="20"/>
          <w:szCs w:val="20"/>
          <w:lang w:val="en-US" w:eastAsia="fr-FR"/>
        </w:rPr>
        <w:t>Full deployment of electric process technologies</w:t>
      </w:r>
    </w:p>
    <w:p w14:paraId="30DA1976" w14:textId="77777777" w:rsidR="00016AFB" w:rsidRDefault="00016AFB">
      <w:pPr>
        <w:numPr>
          <w:ilvl w:val="0"/>
          <w:numId w:val="36"/>
        </w:numPr>
        <w:spacing w:after="0" w:line="240" w:lineRule="auto"/>
        <w:jc w:val="both"/>
        <w:rPr>
          <w:rFonts w:ascii="Times New Roman" w:hAnsi="Times New Roman"/>
          <w:sz w:val="20"/>
          <w:szCs w:val="20"/>
          <w:lang w:eastAsia="fr-FR"/>
        </w:rPr>
      </w:pPr>
      <w:proofErr w:type="spellStart"/>
      <w:r w:rsidRPr="002E59F4">
        <w:rPr>
          <w:rFonts w:ascii="Times New Roman" w:hAnsi="Times New Roman"/>
          <w:sz w:val="20"/>
          <w:szCs w:val="20"/>
          <w:lang w:eastAsia="fr-FR"/>
        </w:rPr>
        <w:t>Grid</w:t>
      </w:r>
      <w:proofErr w:type="spellEnd"/>
      <w:r w:rsidRPr="002E59F4">
        <w:rPr>
          <w:rFonts w:ascii="Times New Roman" w:hAnsi="Times New Roman"/>
          <w:sz w:val="20"/>
          <w:szCs w:val="20"/>
          <w:lang w:eastAsia="fr-FR"/>
        </w:rPr>
        <w:t xml:space="preserve"> </w:t>
      </w:r>
      <w:proofErr w:type="spellStart"/>
      <w:r w:rsidRPr="002E59F4">
        <w:rPr>
          <w:rFonts w:ascii="Times New Roman" w:hAnsi="Times New Roman"/>
          <w:sz w:val="20"/>
          <w:szCs w:val="20"/>
          <w:lang w:eastAsia="fr-FR"/>
        </w:rPr>
        <w:t>upgrades</w:t>
      </w:r>
      <w:proofErr w:type="spellEnd"/>
      <w:r w:rsidRPr="002E59F4">
        <w:rPr>
          <w:rFonts w:ascii="Times New Roman" w:hAnsi="Times New Roman"/>
          <w:sz w:val="20"/>
          <w:szCs w:val="20"/>
          <w:lang w:eastAsia="fr-FR"/>
        </w:rPr>
        <w:t xml:space="preserve"> </w:t>
      </w:r>
      <w:proofErr w:type="spellStart"/>
      <w:r w:rsidRPr="002E59F4">
        <w:rPr>
          <w:rFonts w:ascii="Times New Roman" w:hAnsi="Times New Roman"/>
          <w:sz w:val="20"/>
          <w:szCs w:val="20"/>
          <w:lang w:eastAsia="fr-FR"/>
        </w:rPr>
        <w:t>implemented</w:t>
      </w:r>
      <w:proofErr w:type="spellEnd"/>
      <w:r w:rsidRPr="002E59F4">
        <w:rPr>
          <w:rFonts w:ascii="Times New Roman" w:hAnsi="Times New Roman"/>
          <w:sz w:val="20"/>
          <w:szCs w:val="20"/>
          <w:lang w:eastAsia="fr-FR"/>
        </w:rPr>
        <w:t xml:space="preserve"> </w:t>
      </w:r>
      <w:proofErr w:type="spellStart"/>
      <w:r w:rsidRPr="002E59F4">
        <w:rPr>
          <w:rFonts w:ascii="Times New Roman" w:hAnsi="Times New Roman"/>
          <w:sz w:val="20"/>
          <w:szCs w:val="20"/>
          <w:lang w:eastAsia="fr-FR"/>
        </w:rPr>
        <w:t>late</w:t>
      </w:r>
      <w:proofErr w:type="spellEnd"/>
      <w:r w:rsidRPr="002E59F4">
        <w:rPr>
          <w:rFonts w:ascii="Times New Roman" w:hAnsi="Times New Roman"/>
          <w:sz w:val="20"/>
          <w:szCs w:val="20"/>
          <w:lang w:eastAsia="fr-FR"/>
        </w:rPr>
        <w:t xml:space="preserve"> (2040+)</w:t>
      </w:r>
    </w:p>
    <w:p w14:paraId="3091112E" w14:textId="77777777" w:rsidR="002E59F4" w:rsidRDefault="002E59F4" w:rsidP="002E59F4">
      <w:pPr>
        <w:spacing w:after="0" w:line="240" w:lineRule="auto"/>
        <w:ind w:left="720"/>
        <w:jc w:val="both"/>
        <w:rPr>
          <w:rFonts w:ascii="Times New Roman" w:hAnsi="Times New Roman"/>
          <w:sz w:val="20"/>
          <w:szCs w:val="20"/>
          <w:lang w:eastAsia="fr-FR"/>
        </w:rPr>
      </w:pPr>
    </w:p>
    <w:p w14:paraId="3A0F91B8" w14:textId="47B66BC2" w:rsidR="00016AFB" w:rsidRDefault="00016AFB" w:rsidP="00016AFB">
      <w:pPr>
        <w:spacing w:after="0" w:line="240" w:lineRule="auto"/>
        <w:jc w:val="both"/>
        <w:rPr>
          <w:rFonts w:ascii="Times New Roman" w:hAnsi="Times New Roman"/>
          <w:b/>
          <w:bCs/>
          <w:sz w:val="20"/>
          <w:szCs w:val="20"/>
          <w:lang w:eastAsia="fr-FR"/>
        </w:rPr>
      </w:pPr>
      <w:r w:rsidRPr="002E59F4">
        <w:rPr>
          <w:rFonts w:ascii="Times New Roman" w:hAnsi="Times New Roman"/>
          <w:b/>
          <w:bCs/>
          <w:sz w:val="20"/>
          <w:szCs w:val="20"/>
          <w:lang w:eastAsia="fr-FR"/>
        </w:rPr>
        <w:t xml:space="preserve">A.4. Data </w:t>
      </w:r>
      <w:proofErr w:type="spellStart"/>
      <w:r w:rsidR="002E59F4">
        <w:rPr>
          <w:rFonts w:ascii="Times New Roman" w:hAnsi="Times New Roman"/>
          <w:b/>
          <w:bCs/>
          <w:sz w:val="20"/>
          <w:szCs w:val="20"/>
          <w:lang w:eastAsia="fr-FR"/>
        </w:rPr>
        <w:t>s</w:t>
      </w:r>
      <w:r w:rsidRPr="002E59F4">
        <w:rPr>
          <w:rFonts w:ascii="Times New Roman" w:hAnsi="Times New Roman"/>
          <w:b/>
          <w:bCs/>
          <w:sz w:val="20"/>
          <w:szCs w:val="20"/>
          <w:lang w:eastAsia="fr-FR"/>
        </w:rPr>
        <w:t>ources</w:t>
      </w:r>
      <w:proofErr w:type="spellEnd"/>
    </w:p>
    <w:p w14:paraId="02560F1F" w14:textId="77777777" w:rsidR="00016AFB" w:rsidRPr="002E59F4" w:rsidRDefault="00016AFB">
      <w:pPr>
        <w:numPr>
          <w:ilvl w:val="0"/>
          <w:numId w:val="37"/>
        </w:numPr>
        <w:spacing w:after="0" w:line="240" w:lineRule="auto"/>
        <w:jc w:val="both"/>
        <w:rPr>
          <w:rFonts w:ascii="Times New Roman" w:hAnsi="Times New Roman"/>
          <w:sz w:val="20"/>
          <w:szCs w:val="20"/>
          <w:lang w:val="en-US" w:eastAsia="fr-FR"/>
        </w:rPr>
      </w:pPr>
      <w:r w:rsidRPr="002E59F4">
        <w:rPr>
          <w:rFonts w:ascii="Times New Roman" w:hAnsi="Times New Roman"/>
          <w:b/>
          <w:bCs/>
          <w:sz w:val="20"/>
          <w:szCs w:val="20"/>
          <w:lang w:val="en-US" w:eastAsia="fr-FR"/>
        </w:rPr>
        <w:t>Electricity headroom data:</w:t>
      </w:r>
      <w:r w:rsidRPr="002E59F4">
        <w:rPr>
          <w:rFonts w:ascii="Times New Roman" w:hAnsi="Times New Roman"/>
          <w:sz w:val="20"/>
          <w:szCs w:val="20"/>
          <w:lang w:val="en-US" w:eastAsia="fr-FR"/>
        </w:rPr>
        <w:t xml:space="preserve"> State Grid Corporation of China (2023), China Southern Power Grid (2023)</w:t>
      </w:r>
    </w:p>
    <w:p w14:paraId="3A8ED27B" w14:textId="77777777" w:rsidR="00016AFB" w:rsidRPr="002E59F4" w:rsidRDefault="00016AFB">
      <w:pPr>
        <w:numPr>
          <w:ilvl w:val="0"/>
          <w:numId w:val="37"/>
        </w:numPr>
        <w:spacing w:after="0" w:line="240" w:lineRule="auto"/>
        <w:jc w:val="both"/>
        <w:rPr>
          <w:rFonts w:ascii="Times New Roman" w:hAnsi="Times New Roman"/>
          <w:sz w:val="20"/>
          <w:szCs w:val="20"/>
          <w:lang w:val="en-US" w:eastAsia="fr-FR"/>
        </w:rPr>
      </w:pPr>
      <w:r w:rsidRPr="002E59F4">
        <w:rPr>
          <w:rFonts w:ascii="Times New Roman" w:hAnsi="Times New Roman"/>
          <w:b/>
          <w:bCs/>
          <w:sz w:val="20"/>
          <w:szCs w:val="20"/>
          <w:lang w:val="en-US" w:eastAsia="fr-FR"/>
        </w:rPr>
        <w:t>Industrial electricity demand projections:</w:t>
      </w:r>
      <w:r w:rsidRPr="002E59F4">
        <w:rPr>
          <w:rFonts w:ascii="Times New Roman" w:hAnsi="Times New Roman"/>
          <w:sz w:val="20"/>
          <w:szCs w:val="20"/>
          <w:lang w:val="en-US" w:eastAsia="fr-FR"/>
        </w:rPr>
        <w:t xml:space="preserve"> China Industrial Transition and Electrification Model (CITEM, 2024)</w:t>
      </w:r>
    </w:p>
    <w:p w14:paraId="142D97B3" w14:textId="77777777" w:rsidR="00016AFB" w:rsidRPr="002E59F4" w:rsidRDefault="00016AFB">
      <w:pPr>
        <w:numPr>
          <w:ilvl w:val="0"/>
          <w:numId w:val="37"/>
        </w:numPr>
        <w:spacing w:after="0" w:line="240" w:lineRule="auto"/>
        <w:jc w:val="both"/>
        <w:rPr>
          <w:rFonts w:ascii="Times New Roman" w:hAnsi="Times New Roman"/>
          <w:sz w:val="20"/>
          <w:szCs w:val="20"/>
          <w:lang w:val="en-US" w:eastAsia="fr-FR"/>
        </w:rPr>
      </w:pPr>
      <w:r w:rsidRPr="002E59F4">
        <w:rPr>
          <w:rFonts w:ascii="Times New Roman" w:hAnsi="Times New Roman"/>
          <w:b/>
          <w:bCs/>
          <w:sz w:val="20"/>
          <w:szCs w:val="20"/>
          <w:lang w:val="en-US" w:eastAsia="fr-FR"/>
        </w:rPr>
        <w:t>Geospatial data:</w:t>
      </w:r>
      <w:r w:rsidRPr="002E59F4">
        <w:rPr>
          <w:rFonts w:ascii="Times New Roman" w:hAnsi="Times New Roman"/>
          <w:sz w:val="20"/>
          <w:szCs w:val="20"/>
          <w:lang w:val="en-US" w:eastAsia="fr-FR"/>
        </w:rPr>
        <w:t xml:space="preserve"> National Infrastructure GIS Repository, China Urban Planning Database</w:t>
      </w:r>
    </w:p>
    <w:p w14:paraId="34215E6F" w14:textId="77777777" w:rsidR="00016AFB" w:rsidRDefault="00016AFB">
      <w:pPr>
        <w:numPr>
          <w:ilvl w:val="0"/>
          <w:numId w:val="37"/>
        </w:numPr>
        <w:spacing w:after="0" w:line="240" w:lineRule="auto"/>
        <w:jc w:val="both"/>
        <w:rPr>
          <w:rFonts w:ascii="Times New Roman" w:hAnsi="Times New Roman"/>
          <w:sz w:val="20"/>
          <w:szCs w:val="20"/>
          <w:lang w:val="en-US" w:eastAsia="fr-FR"/>
        </w:rPr>
      </w:pPr>
      <w:r w:rsidRPr="002E59F4">
        <w:rPr>
          <w:rFonts w:ascii="Times New Roman" w:hAnsi="Times New Roman"/>
          <w:b/>
          <w:bCs/>
          <w:sz w:val="20"/>
          <w:szCs w:val="20"/>
          <w:lang w:val="en-US" w:eastAsia="fr-FR"/>
        </w:rPr>
        <w:t>Policy targets and scenarios:</w:t>
      </w:r>
      <w:r w:rsidRPr="002E59F4">
        <w:rPr>
          <w:rFonts w:ascii="Times New Roman" w:hAnsi="Times New Roman"/>
          <w:sz w:val="20"/>
          <w:szCs w:val="20"/>
          <w:lang w:val="en-US" w:eastAsia="fr-FR"/>
        </w:rPr>
        <w:t xml:space="preserve"> NEA (2023), National Development and Reform Commission (NDRC)</w:t>
      </w:r>
    </w:p>
    <w:p w14:paraId="3C30EA5A" w14:textId="77777777" w:rsidR="002E59F4" w:rsidRPr="002E59F4" w:rsidRDefault="002E59F4" w:rsidP="002E59F4">
      <w:pPr>
        <w:spacing w:after="0" w:line="240" w:lineRule="auto"/>
        <w:ind w:left="720"/>
        <w:jc w:val="both"/>
        <w:rPr>
          <w:rFonts w:ascii="Times New Roman" w:hAnsi="Times New Roman"/>
          <w:sz w:val="20"/>
          <w:szCs w:val="20"/>
          <w:lang w:val="en-US" w:eastAsia="fr-FR"/>
        </w:rPr>
      </w:pPr>
    </w:p>
    <w:p w14:paraId="7F3088D5" w14:textId="424BFE47" w:rsidR="00016AFB" w:rsidRPr="002E59F4" w:rsidRDefault="00016AFB" w:rsidP="00016AFB">
      <w:pPr>
        <w:spacing w:after="0" w:line="240" w:lineRule="auto"/>
        <w:jc w:val="both"/>
        <w:rPr>
          <w:rFonts w:ascii="Times New Roman" w:hAnsi="Times New Roman"/>
          <w:b/>
          <w:bCs/>
          <w:sz w:val="20"/>
          <w:szCs w:val="20"/>
          <w:lang w:eastAsia="fr-FR"/>
        </w:rPr>
      </w:pPr>
      <w:r w:rsidRPr="002E59F4">
        <w:rPr>
          <w:rFonts w:ascii="Times New Roman" w:hAnsi="Times New Roman"/>
          <w:b/>
          <w:bCs/>
          <w:sz w:val="20"/>
          <w:szCs w:val="20"/>
          <w:lang w:eastAsia="fr-FR"/>
        </w:rPr>
        <w:t xml:space="preserve">A.5. </w:t>
      </w:r>
      <w:proofErr w:type="spellStart"/>
      <w:r w:rsidRPr="002E59F4">
        <w:rPr>
          <w:rFonts w:ascii="Times New Roman" w:hAnsi="Times New Roman"/>
          <w:b/>
          <w:bCs/>
          <w:sz w:val="20"/>
          <w:szCs w:val="20"/>
          <w:lang w:eastAsia="fr-FR"/>
        </w:rPr>
        <w:t>Assumptions</w:t>
      </w:r>
      <w:proofErr w:type="spellEnd"/>
      <w:r w:rsidRPr="002E59F4">
        <w:rPr>
          <w:rFonts w:ascii="Times New Roman" w:hAnsi="Times New Roman"/>
          <w:b/>
          <w:bCs/>
          <w:sz w:val="20"/>
          <w:szCs w:val="20"/>
          <w:lang w:eastAsia="fr-FR"/>
        </w:rPr>
        <w:t xml:space="preserve"> and</w:t>
      </w:r>
      <w:r w:rsidR="002E59F4">
        <w:rPr>
          <w:rFonts w:ascii="Times New Roman" w:hAnsi="Times New Roman"/>
          <w:b/>
          <w:bCs/>
          <w:sz w:val="20"/>
          <w:szCs w:val="20"/>
          <w:lang w:eastAsia="fr-FR"/>
        </w:rPr>
        <w:t xml:space="preserve"> </w:t>
      </w:r>
      <w:proofErr w:type="spellStart"/>
      <w:r w:rsidR="002E59F4">
        <w:rPr>
          <w:rFonts w:ascii="Times New Roman" w:hAnsi="Times New Roman"/>
          <w:b/>
          <w:bCs/>
          <w:sz w:val="20"/>
          <w:szCs w:val="20"/>
          <w:lang w:eastAsia="fr-FR"/>
        </w:rPr>
        <w:t>l</w:t>
      </w:r>
      <w:r w:rsidRPr="002E59F4">
        <w:rPr>
          <w:rFonts w:ascii="Times New Roman" w:hAnsi="Times New Roman"/>
          <w:b/>
          <w:bCs/>
          <w:sz w:val="20"/>
          <w:szCs w:val="20"/>
          <w:lang w:eastAsia="fr-FR"/>
        </w:rPr>
        <w:t>imitations</w:t>
      </w:r>
      <w:proofErr w:type="spellEnd"/>
    </w:p>
    <w:p w14:paraId="03FE62A5" w14:textId="77777777" w:rsidR="00016AFB" w:rsidRPr="002E59F4" w:rsidRDefault="00016AFB">
      <w:pPr>
        <w:numPr>
          <w:ilvl w:val="0"/>
          <w:numId w:val="38"/>
        </w:numPr>
        <w:spacing w:after="0" w:line="240" w:lineRule="auto"/>
        <w:jc w:val="both"/>
        <w:rPr>
          <w:rFonts w:ascii="Times New Roman" w:hAnsi="Times New Roman"/>
          <w:sz w:val="20"/>
          <w:szCs w:val="20"/>
          <w:lang w:val="en-US" w:eastAsia="fr-FR"/>
        </w:rPr>
      </w:pPr>
      <w:r w:rsidRPr="002E59F4">
        <w:rPr>
          <w:rFonts w:ascii="Times New Roman" w:hAnsi="Times New Roman"/>
          <w:sz w:val="20"/>
          <w:szCs w:val="20"/>
          <w:lang w:val="en-US" w:eastAsia="fr-FR"/>
        </w:rPr>
        <w:t>Spatial allocation assumes straight-line distance (does not account for topographical grid routing challenges).</w:t>
      </w:r>
    </w:p>
    <w:p w14:paraId="511B12CE" w14:textId="77777777" w:rsidR="00016AFB" w:rsidRPr="002E59F4" w:rsidRDefault="00016AFB">
      <w:pPr>
        <w:numPr>
          <w:ilvl w:val="0"/>
          <w:numId w:val="38"/>
        </w:numPr>
        <w:spacing w:after="0" w:line="240" w:lineRule="auto"/>
        <w:jc w:val="both"/>
        <w:rPr>
          <w:rFonts w:ascii="Times New Roman" w:hAnsi="Times New Roman"/>
          <w:sz w:val="20"/>
          <w:szCs w:val="20"/>
          <w:lang w:val="en-US" w:eastAsia="fr-FR"/>
        </w:rPr>
      </w:pPr>
      <w:r w:rsidRPr="002E59F4">
        <w:rPr>
          <w:rFonts w:ascii="Times New Roman" w:hAnsi="Times New Roman"/>
          <w:sz w:val="20"/>
          <w:szCs w:val="20"/>
          <w:lang w:val="en-US" w:eastAsia="fr-FR"/>
        </w:rPr>
        <w:t>Electrification ramp-up is assumed linear from 2025 to 2050 under each scenario.</w:t>
      </w:r>
    </w:p>
    <w:p w14:paraId="16AD51E3" w14:textId="77777777" w:rsidR="00016AFB" w:rsidRPr="002E59F4" w:rsidRDefault="00016AFB">
      <w:pPr>
        <w:numPr>
          <w:ilvl w:val="0"/>
          <w:numId w:val="38"/>
        </w:numPr>
        <w:spacing w:after="0" w:line="240" w:lineRule="auto"/>
        <w:jc w:val="both"/>
        <w:rPr>
          <w:rFonts w:ascii="Times New Roman" w:hAnsi="Times New Roman"/>
          <w:sz w:val="20"/>
          <w:szCs w:val="20"/>
          <w:lang w:val="en-US" w:eastAsia="fr-FR"/>
        </w:rPr>
      </w:pPr>
      <w:r w:rsidRPr="002E59F4">
        <w:rPr>
          <w:rFonts w:ascii="Times New Roman" w:hAnsi="Times New Roman"/>
          <w:sz w:val="20"/>
          <w:szCs w:val="20"/>
          <w:lang w:val="en-US" w:eastAsia="fr-FR"/>
        </w:rPr>
        <w:t>All substations are assumed to have uniform technology efficiency; dynamic load shedding and smart grid features are not modeled in baseline results.</w:t>
      </w:r>
    </w:p>
    <w:p w14:paraId="122B3E45" w14:textId="611AFDC6" w:rsidR="00016AFB" w:rsidRPr="002E59F4" w:rsidRDefault="00016AFB">
      <w:pPr>
        <w:numPr>
          <w:ilvl w:val="0"/>
          <w:numId w:val="38"/>
        </w:numPr>
        <w:spacing w:after="0" w:line="240" w:lineRule="auto"/>
        <w:jc w:val="both"/>
        <w:rPr>
          <w:rFonts w:ascii="Times New Roman" w:hAnsi="Times New Roman"/>
          <w:sz w:val="20"/>
          <w:szCs w:val="20"/>
          <w:lang w:val="en-US" w:eastAsia="fr-FR"/>
        </w:rPr>
      </w:pPr>
      <w:r w:rsidRPr="002E59F4">
        <w:rPr>
          <w:rFonts w:ascii="Times New Roman" w:hAnsi="Times New Roman"/>
          <w:sz w:val="20"/>
          <w:szCs w:val="20"/>
          <w:lang w:val="en-US" w:eastAsia="fr-FR"/>
        </w:rPr>
        <w:t xml:space="preserve">Renewable generation and distributed energy sources are excluded from primary modeling but considered in the </w:t>
      </w:r>
      <w:r w:rsidRPr="002E59F4">
        <w:rPr>
          <w:rFonts w:ascii="Times New Roman" w:hAnsi="Times New Roman"/>
          <w:i/>
          <w:iCs/>
          <w:sz w:val="20"/>
          <w:szCs w:val="20"/>
          <w:lang w:val="en-US" w:eastAsia="fr-FR"/>
        </w:rPr>
        <w:t>Leading the Way</w:t>
      </w:r>
      <w:r w:rsidRPr="002E59F4">
        <w:rPr>
          <w:rFonts w:ascii="Times New Roman" w:hAnsi="Times New Roman"/>
          <w:sz w:val="20"/>
          <w:szCs w:val="20"/>
          <w:lang w:val="en-US" w:eastAsia="fr-FR"/>
        </w:rPr>
        <w:t xml:space="preserve"> scenario.</w:t>
      </w:r>
    </w:p>
    <w:p w14:paraId="0EFF3BA1" w14:textId="77777777" w:rsidR="002E59F4" w:rsidRDefault="002E59F4" w:rsidP="00016AFB">
      <w:pPr>
        <w:spacing w:after="0" w:line="240" w:lineRule="auto"/>
        <w:jc w:val="both"/>
        <w:rPr>
          <w:rFonts w:ascii="Times New Roman" w:hAnsi="Times New Roman"/>
          <w:b/>
          <w:bCs/>
          <w:sz w:val="20"/>
          <w:szCs w:val="20"/>
          <w:lang w:val="en-US" w:eastAsia="fr-FR"/>
        </w:rPr>
      </w:pPr>
    </w:p>
    <w:p w14:paraId="20009783" w14:textId="677E1D68" w:rsidR="00016AFB" w:rsidRPr="002E59F4" w:rsidRDefault="00016AFB" w:rsidP="00016AFB">
      <w:pPr>
        <w:spacing w:after="0" w:line="240" w:lineRule="auto"/>
        <w:jc w:val="both"/>
        <w:rPr>
          <w:rFonts w:ascii="Times New Roman" w:hAnsi="Times New Roman"/>
          <w:b/>
          <w:bCs/>
          <w:sz w:val="20"/>
          <w:szCs w:val="20"/>
          <w:lang w:val="en-US" w:eastAsia="fr-FR"/>
        </w:rPr>
      </w:pPr>
      <w:r w:rsidRPr="002E59F4">
        <w:rPr>
          <w:rFonts w:ascii="Times New Roman" w:hAnsi="Times New Roman"/>
          <w:b/>
          <w:bCs/>
          <w:sz w:val="20"/>
          <w:szCs w:val="20"/>
          <w:lang w:val="en-US" w:eastAsia="fr-FR"/>
        </w:rPr>
        <w:t xml:space="preserve">Appendix B: International </w:t>
      </w:r>
      <w:r w:rsidR="002E59F4">
        <w:rPr>
          <w:rFonts w:ascii="Times New Roman" w:hAnsi="Times New Roman"/>
          <w:b/>
          <w:bCs/>
          <w:sz w:val="20"/>
          <w:szCs w:val="20"/>
          <w:lang w:val="en-US" w:eastAsia="fr-FR"/>
        </w:rPr>
        <w:t>b</w:t>
      </w:r>
      <w:r w:rsidRPr="002E59F4">
        <w:rPr>
          <w:rFonts w:ascii="Times New Roman" w:hAnsi="Times New Roman"/>
          <w:b/>
          <w:bCs/>
          <w:sz w:val="20"/>
          <w:szCs w:val="20"/>
          <w:lang w:val="en-US" w:eastAsia="fr-FR"/>
        </w:rPr>
        <w:t xml:space="preserve">enchmarking </w:t>
      </w:r>
      <w:r w:rsidR="002E59F4">
        <w:rPr>
          <w:rFonts w:ascii="Times New Roman" w:hAnsi="Times New Roman"/>
          <w:b/>
          <w:bCs/>
          <w:sz w:val="20"/>
          <w:szCs w:val="20"/>
          <w:lang w:val="en-US" w:eastAsia="fr-FR"/>
        </w:rPr>
        <w:t>t</w:t>
      </w:r>
      <w:r w:rsidRPr="002E59F4">
        <w:rPr>
          <w:rFonts w:ascii="Times New Roman" w:hAnsi="Times New Roman"/>
          <w:b/>
          <w:bCs/>
          <w:sz w:val="20"/>
          <w:szCs w:val="20"/>
          <w:lang w:val="en-US" w:eastAsia="fr-FR"/>
        </w:rPr>
        <w:t>able</w:t>
      </w:r>
    </w:p>
    <w:p w14:paraId="51C14A24" w14:textId="77777777" w:rsidR="00016AFB" w:rsidRPr="002E59F4" w:rsidRDefault="00016AFB" w:rsidP="00016AFB">
      <w:pPr>
        <w:spacing w:after="0" w:line="240" w:lineRule="auto"/>
        <w:jc w:val="both"/>
        <w:rPr>
          <w:rFonts w:ascii="Times New Roman" w:hAnsi="Times New Roman"/>
          <w:sz w:val="20"/>
          <w:szCs w:val="20"/>
          <w:lang w:val="en-US" w:eastAsia="fr-FR"/>
        </w:rPr>
      </w:pPr>
      <w:r w:rsidRPr="002E59F4">
        <w:rPr>
          <w:rFonts w:ascii="Times New Roman" w:hAnsi="Times New Roman"/>
          <w:sz w:val="20"/>
          <w:szCs w:val="20"/>
          <w:lang w:val="en-US" w:eastAsia="fr-FR"/>
        </w:rPr>
        <w:t>To situate the Chinese industrial-grid decarbonization challenge within a global context, Table B1 compares China's situation to selected leading economies. This benchmarking highlights how grid constraints, industrial structure, and policy responses vary across countries.</w:t>
      </w:r>
    </w:p>
    <w:p w14:paraId="389EDE5E" w14:textId="77777777" w:rsidR="002E59F4" w:rsidRDefault="002E59F4" w:rsidP="00016AFB">
      <w:pPr>
        <w:spacing w:after="0" w:line="240" w:lineRule="auto"/>
        <w:jc w:val="both"/>
        <w:rPr>
          <w:rFonts w:ascii="Times New Roman" w:hAnsi="Times New Roman"/>
          <w:b/>
          <w:bCs/>
          <w:sz w:val="20"/>
          <w:szCs w:val="20"/>
          <w:lang w:val="en-US" w:eastAsia="fr-FR"/>
        </w:rPr>
      </w:pPr>
    </w:p>
    <w:p w14:paraId="7F4620D7" w14:textId="07D72741" w:rsidR="00016AFB" w:rsidRDefault="00016AFB" w:rsidP="00016AFB">
      <w:pPr>
        <w:spacing w:after="0" w:line="240" w:lineRule="auto"/>
        <w:jc w:val="both"/>
        <w:rPr>
          <w:rFonts w:ascii="Times New Roman" w:hAnsi="Times New Roman"/>
          <w:b/>
          <w:bCs/>
          <w:sz w:val="20"/>
          <w:szCs w:val="20"/>
          <w:lang w:val="en-US" w:eastAsia="fr-FR"/>
        </w:rPr>
      </w:pPr>
      <w:r w:rsidRPr="002E59F4">
        <w:rPr>
          <w:rFonts w:ascii="Times New Roman" w:hAnsi="Times New Roman"/>
          <w:b/>
          <w:bCs/>
          <w:sz w:val="20"/>
          <w:szCs w:val="20"/>
          <w:lang w:val="en-US" w:eastAsia="fr-FR"/>
        </w:rPr>
        <w:t xml:space="preserve">Table B1. Comparative </w:t>
      </w:r>
      <w:r w:rsidR="002E59F4">
        <w:rPr>
          <w:rFonts w:ascii="Times New Roman" w:hAnsi="Times New Roman"/>
          <w:b/>
          <w:bCs/>
          <w:sz w:val="20"/>
          <w:szCs w:val="20"/>
          <w:lang w:val="en-US" w:eastAsia="fr-FR"/>
        </w:rPr>
        <w:t>b</w:t>
      </w:r>
      <w:r w:rsidRPr="002E59F4">
        <w:rPr>
          <w:rFonts w:ascii="Times New Roman" w:hAnsi="Times New Roman"/>
          <w:b/>
          <w:bCs/>
          <w:sz w:val="20"/>
          <w:szCs w:val="20"/>
          <w:lang w:val="en-US" w:eastAsia="fr-FR"/>
        </w:rPr>
        <w:t xml:space="preserve">enchmarking of </w:t>
      </w:r>
      <w:r w:rsidR="002E59F4">
        <w:rPr>
          <w:rFonts w:ascii="Times New Roman" w:hAnsi="Times New Roman"/>
          <w:b/>
          <w:bCs/>
          <w:sz w:val="20"/>
          <w:szCs w:val="20"/>
          <w:lang w:val="en-US" w:eastAsia="fr-FR"/>
        </w:rPr>
        <w:t>i</w:t>
      </w:r>
      <w:r w:rsidRPr="002E59F4">
        <w:rPr>
          <w:rFonts w:ascii="Times New Roman" w:hAnsi="Times New Roman"/>
          <w:b/>
          <w:bCs/>
          <w:sz w:val="20"/>
          <w:szCs w:val="20"/>
          <w:lang w:val="en-US" w:eastAsia="fr-FR"/>
        </w:rPr>
        <w:t xml:space="preserve">ndustrial </w:t>
      </w:r>
      <w:r w:rsidR="002E59F4">
        <w:rPr>
          <w:rFonts w:ascii="Times New Roman" w:hAnsi="Times New Roman"/>
          <w:b/>
          <w:bCs/>
          <w:sz w:val="20"/>
          <w:szCs w:val="20"/>
          <w:lang w:val="en-US" w:eastAsia="fr-FR"/>
        </w:rPr>
        <w:t>d</w:t>
      </w:r>
      <w:r w:rsidRPr="002E59F4">
        <w:rPr>
          <w:rFonts w:ascii="Times New Roman" w:hAnsi="Times New Roman"/>
          <w:b/>
          <w:bCs/>
          <w:sz w:val="20"/>
          <w:szCs w:val="20"/>
          <w:lang w:val="en-US" w:eastAsia="fr-FR"/>
        </w:rPr>
        <w:t xml:space="preserve">ecarbonization and </w:t>
      </w:r>
      <w:r w:rsidR="002E59F4">
        <w:rPr>
          <w:rFonts w:ascii="Times New Roman" w:hAnsi="Times New Roman"/>
          <w:b/>
          <w:bCs/>
          <w:sz w:val="20"/>
          <w:szCs w:val="20"/>
          <w:lang w:val="en-US" w:eastAsia="fr-FR"/>
        </w:rPr>
        <w:t>g</w:t>
      </w:r>
      <w:r w:rsidRPr="002E59F4">
        <w:rPr>
          <w:rFonts w:ascii="Times New Roman" w:hAnsi="Times New Roman"/>
          <w:b/>
          <w:bCs/>
          <w:sz w:val="20"/>
          <w:szCs w:val="20"/>
          <w:lang w:val="en-US" w:eastAsia="fr-FR"/>
        </w:rPr>
        <w:t xml:space="preserve">rid </w:t>
      </w:r>
      <w:r w:rsidR="002E59F4">
        <w:rPr>
          <w:rFonts w:ascii="Times New Roman" w:hAnsi="Times New Roman"/>
          <w:b/>
          <w:bCs/>
          <w:sz w:val="20"/>
          <w:szCs w:val="20"/>
          <w:lang w:val="en-US" w:eastAsia="fr-FR"/>
        </w:rPr>
        <w:t>c</w:t>
      </w:r>
      <w:r w:rsidRPr="002E59F4">
        <w:rPr>
          <w:rFonts w:ascii="Times New Roman" w:hAnsi="Times New Roman"/>
          <w:b/>
          <w:bCs/>
          <w:sz w:val="20"/>
          <w:szCs w:val="20"/>
          <w:lang w:val="en-US" w:eastAsia="fr-FR"/>
        </w:rPr>
        <w:t>onstraints</w:t>
      </w:r>
    </w:p>
    <w:tbl>
      <w:tblPr>
        <w:tblStyle w:val="Tabela-Siatka"/>
        <w:tblW w:w="9060" w:type="dxa"/>
        <w:tblLook w:val="04A0" w:firstRow="1" w:lastRow="0" w:firstColumn="1" w:lastColumn="0" w:noHBand="0" w:noVBand="1"/>
      </w:tblPr>
      <w:tblGrid>
        <w:gridCol w:w="1812"/>
        <w:gridCol w:w="1812"/>
        <w:gridCol w:w="1812"/>
        <w:gridCol w:w="1812"/>
        <w:gridCol w:w="1812"/>
      </w:tblGrid>
      <w:tr w:rsidR="002E59F4" w14:paraId="0BB68647" w14:textId="77777777" w:rsidTr="002E59F4">
        <w:tc>
          <w:tcPr>
            <w:tcW w:w="1812" w:type="dxa"/>
            <w:vAlign w:val="center"/>
          </w:tcPr>
          <w:p w14:paraId="44DF16A8" w14:textId="55F04641" w:rsidR="002E59F4" w:rsidRDefault="002E59F4" w:rsidP="002E59F4">
            <w:pPr>
              <w:spacing w:after="0" w:line="240" w:lineRule="auto"/>
              <w:jc w:val="both"/>
              <w:rPr>
                <w:rFonts w:ascii="Times New Roman" w:hAnsi="Times New Roman"/>
                <w:sz w:val="20"/>
                <w:szCs w:val="20"/>
                <w:lang w:val="en-US" w:eastAsia="fr-FR"/>
              </w:rPr>
            </w:pPr>
            <w:r w:rsidRPr="00016AFB">
              <w:rPr>
                <w:rFonts w:ascii="Times New Roman" w:hAnsi="Times New Roman"/>
                <w:b/>
                <w:bCs/>
                <w:sz w:val="20"/>
                <w:szCs w:val="20"/>
                <w:lang w:eastAsia="fr-FR"/>
              </w:rPr>
              <w:t>Country</w:t>
            </w:r>
          </w:p>
        </w:tc>
        <w:tc>
          <w:tcPr>
            <w:tcW w:w="1812" w:type="dxa"/>
            <w:vAlign w:val="center"/>
          </w:tcPr>
          <w:p w14:paraId="3D74F3DD" w14:textId="19BF726E" w:rsidR="002E59F4" w:rsidRDefault="002E59F4" w:rsidP="002E59F4">
            <w:pPr>
              <w:spacing w:after="0" w:line="240" w:lineRule="auto"/>
              <w:jc w:val="both"/>
              <w:rPr>
                <w:rFonts w:ascii="Times New Roman" w:hAnsi="Times New Roman"/>
                <w:sz w:val="20"/>
                <w:szCs w:val="20"/>
                <w:lang w:val="en-US" w:eastAsia="fr-FR"/>
              </w:rPr>
            </w:pPr>
            <w:proofErr w:type="spellStart"/>
            <w:r w:rsidRPr="00016AFB">
              <w:rPr>
                <w:rFonts w:ascii="Times New Roman" w:hAnsi="Times New Roman"/>
                <w:b/>
                <w:bCs/>
                <w:sz w:val="20"/>
                <w:szCs w:val="20"/>
                <w:lang w:eastAsia="fr-FR"/>
              </w:rPr>
              <w:t>Grid</w:t>
            </w:r>
            <w:proofErr w:type="spellEnd"/>
            <w:r w:rsidRPr="00016AFB">
              <w:rPr>
                <w:rFonts w:ascii="Times New Roman" w:hAnsi="Times New Roman"/>
                <w:b/>
                <w:bCs/>
                <w:sz w:val="20"/>
                <w:szCs w:val="20"/>
                <w:lang w:eastAsia="fr-FR"/>
              </w:rPr>
              <w:t xml:space="preserve"> </w:t>
            </w:r>
            <w:proofErr w:type="spellStart"/>
            <w:r>
              <w:rPr>
                <w:rFonts w:ascii="Times New Roman" w:hAnsi="Times New Roman"/>
                <w:b/>
                <w:bCs/>
                <w:sz w:val="20"/>
                <w:szCs w:val="20"/>
                <w:lang w:eastAsia="fr-FR"/>
              </w:rPr>
              <w:t>c</w:t>
            </w:r>
            <w:r w:rsidRPr="00016AFB">
              <w:rPr>
                <w:rFonts w:ascii="Times New Roman" w:hAnsi="Times New Roman"/>
                <w:b/>
                <w:bCs/>
                <w:sz w:val="20"/>
                <w:szCs w:val="20"/>
                <w:lang w:eastAsia="fr-FR"/>
              </w:rPr>
              <w:t>onstraint</w:t>
            </w:r>
            <w:proofErr w:type="spellEnd"/>
            <w:r w:rsidRPr="00016AFB">
              <w:rPr>
                <w:rFonts w:ascii="Times New Roman" w:hAnsi="Times New Roman"/>
                <w:b/>
                <w:bCs/>
                <w:sz w:val="20"/>
                <w:szCs w:val="20"/>
                <w:lang w:eastAsia="fr-FR"/>
              </w:rPr>
              <w:t xml:space="preserve"> </w:t>
            </w:r>
            <w:proofErr w:type="spellStart"/>
            <w:r>
              <w:rPr>
                <w:rFonts w:ascii="Times New Roman" w:hAnsi="Times New Roman"/>
                <w:b/>
                <w:bCs/>
                <w:sz w:val="20"/>
                <w:szCs w:val="20"/>
                <w:lang w:eastAsia="fr-FR"/>
              </w:rPr>
              <w:t>l</w:t>
            </w:r>
            <w:r w:rsidRPr="00016AFB">
              <w:rPr>
                <w:rFonts w:ascii="Times New Roman" w:hAnsi="Times New Roman"/>
                <w:b/>
                <w:bCs/>
                <w:sz w:val="20"/>
                <w:szCs w:val="20"/>
                <w:lang w:eastAsia="fr-FR"/>
              </w:rPr>
              <w:t>evel</w:t>
            </w:r>
            <w:proofErr w:type="spellEnd"/>
          </w:p>
        </w:tc>
        <w:tc>
          <w:tcPr>
            <w:tcW w:w="1812" w:type="dxa"/>
            <w:vAlign w:val="center"/>
          </w:tcPr>
          <w:p w14:paraId="78518961" w14:textId="77777777" w:rsidR="002E59F4" w:rsidRDefault="002E59F4" w:rsidP="002E59F4">
            <w:pPr>
              <w:spacing w:after="0" w:line="240" w:lineRule="auto"/>
              <w:jc w:val="both"/>
              <w:rPr>
                <w:rFonts w:ascii="Times New Roman" w:hAnsi="Times New Roman"/>
                <w:b/>
                <w:bCs/>
                <w:sz w:val="20"/>
                <w:szCs w:val="20"/>
                <w:lang w:eastAsia="fr-FR"/>
              </w:rPr>
            </w:pPr>
            <w:r w:rsidRPr="00016AFB">
              <w:rPr>
                <w:rFonts w:ascii="Times New Roman" w:hAnsi="Times New Roman"/>
                <w:b/>
                <w:bCs/>
                <w:sz w:val="20"/>
                <w:szCs w:val="20"/>
                <w:lang w:eastAsia="fr-FR"/>
              </w:rPr>
              <w:t xml:space="preserve">Dominant </w:t>
            </w:r>
          </w:p>
          <w:p w14:paraId="4ABC2E0A" w14:textId="08FD4BCC" w:rsidR="002E59F4" w:rsidRDefault="002E59F4" w:rsidP="002E59F4">
            <w:pPr>
              <w:spacing w:after="0" w:line="240" w:lineRule="auto"/>
              <w:jc w:val="both"/>
              <w:rPr>
                <w:rFonts w:ascii="Times New Roman" w:hAnsi="Times New Roman"/>
                <w:sz w:val="20"/>
                <w:szCs w:val="20"/>
                <w:lang w:val="en-US" w:eastAsia="fr-FR"/>
              </w:rPr>
            </w:pPr>
            <w:proofErr w:type="spellStart"/>
            <w:r>
              <w:rPr>
                <w:rFonts w:ascii="Times New Roman" w:hAnsi="Times New Roman"/>
                <w:b/>
                <w:bCs/>
                <w:sz w:val="20"/>
                <w:szCs w:val="20"/>
                <w:lang w:eastAsia="fr-FR"/>
              </w:rPr>
              <w:t>i</w:t>
            </w:r>
            <w:r w:rsidRPr="00016AFB">
              <w:rPr>
                <w:rFonts w:ascii="Times New Roman" w:hAnsi="Times New Roman"/>
                <w:b/>
                <w:bCs/>
                <w:sz w:val="20"/>
                <w:szCs w:val="20"/>
                <w:lang w:eastAsia="fr-FR"/>
              </w:rPr>
              <w:t>ndustrial</w:t>
            </w:r>
            <w:proofErr w:type="spellEnd"/>
            <w:r w:rsidRPr="00016AFB">
              <w:rPr>
                <w:rFonts w:ascii="Times New Roman" w:hAnsi="Times New Roman"/>
                <w:b/>
                <w:bCs/>
                <w:sz w:val="20"/>
                <w:szCs w:val="20"/>
                <w:lang w:eastAsia="fr-FR"/>
              </w:rPr>
              <w:t xml:space="preserve"> </w:t>
            </w:r>
            <w:proofErr w:type="spellStart"/>
            <w:r>
              <w:rPr>
                <w:rFonts w:ascii="Times New Roman" w:hAnsi="Times New Roman"/>
                <w:b/>
                <w:bCs/>
                <w:sz w:val="20"/>
                <w:szCs w:val="20"/>
                <w:lang w:eastAsia="fr-FR"/>
              </w:rPr>
              <w:t>s</w:t>
            </w:r>
            <w:r w:rsidRPr="00016AFB">
              <w:rPr>
                <w:rFonts w:ascii="Times New Roman" w:hAnsi="Times New Roman"/>
                <w:b/>
                <w:bCs/>
                <w:sz w:val="20"/>
                <w:szCs w:val="20"/>
                <w:lang w:eastAsia="fr-FR"/>
              </w:rPr>
              <w:t>ectors</w:t>
            </w:r>
            <w:proofErr w:type="spellEnd"/>
          </w:p>
        </w:tc>
        <w:tc>
          <w:tcPr>
            <w:tcW w:w="1812" w:type="dxa"/>
            <w:vAlign w:val="center"/>
          </w:tcPr>
          <w:p w14:paraId="378DE979" w14:textId="77777777" w:rsidR="002E59F4" w:rsidRDefault="002E59F4" w:rsidP="002E59F4">
            <w:pPr>
              <w:spacing w:after="0" w:line="240" w:lineRule="auto"/>
              <w:jc w:val="both"/>
              <w:rPr>
                <w:rFonts w:ascii="Times New Roman" w:hAnsi="Times New Roman"/>
                <w:b/>
                <w:bCs/>
                <w:sz w:val="20"/>
                <w:szCs w:val="20"/>
                <w:lang w:eastAsia="fr-FR"/>
              </w:rPr>
            </w:pPr>
            <w:proofErr w:type="spellStart"/>
            <w:r w:rsidRPr="00016AFB">
              <w:rPr>
                <w:rFonts w:ascii="Times New Roman" w:hAnsi="Times New Roman"/>
                <w:b/>
                <w:bCs/>
                <w:sz w:val="20"/>
                <w:szCs w:val="20"/>
                <w:lang w:eastAsia="fr-FR"/>
              </w:rPr>
              <w:t>Key</w:t>
            </w:r>
            <w:proofErr w:type="spellEnd"/>
            <w:r w:rsidRPr="00016AFB">
              <w:rPr>
                <w:rFonts w:ascii="Times New Roman" w:hAnsi="Times New Roman"/>
                <w:b/>
                <w:bCs/>
                <w:sz w:val="20"/>
                <w:szCs w:val="20"/>
                <w:lang w:eastAsia="fr-FR"/>
              </w:rPr>
              <w:t xml:space="preserve"> </w:t>
            </w:r>
          </w:p>
          <w:p w14:paraId="303F1DC9" w14:textId="10556845" w:rsidR="002E59F4" w:rsidRDefault="002E59F4" w:rsidP="002E59F4">
            <w:pPr>
              <w:spacing w:after="0" w:line="240" w:lineRule="auto"/>
              <w:jc w:val="both"/>
              <w:rPr>
                <w:rFonts w:ascii="Times New Roman" w:hAnsi="Times New Roman"/>
                <w:sz w:val="20"/>
                <w:szCs w:val="20"/>
                <w:lang w:val="en-US" w:eastAsia="fr-FR"/>
              </w:rPr>
            </w:pPr>
            <w:proofErr w:type="spellStart"/>
            <w:r w:rsidRPr="00016AFB">
              <w:rPr>
                <w:rFonts w:ascii="Times New Roman" w:hAnsi="Times New Roman"/>
                <w:b/>
                <w:bCs/>
                <w:sz w:val="20"/>
                <w:szCs w:val="20"/>
                <w:lang w:eastAsia="fr-FR"/>
              </w:rPr>
              <w:t>Electrification</w:t>
            </w:r>
            <w:proofErr w:type="spellEnd"/>
            <w:r w:rsidRPr="00016AFB">
              <w:rPr>
                <w:rFonts w:ascii="Times New Roman" w:hAnsi="Times New Roman"/>
                <w:b/>
                <w:bCs/>
                <w:sz w:val="20"/>
                <w:szCs w:val="20"/>
                <w:lang w:eastAsia="fr-FR"/>
              </w:rPr>
              <w:t xml:space="preserve"> </w:t>
            </w:r>
            <w:proofErr w:type="spellStart"/>
            <w:r w:rsidRPr="00016AFB">
              <w:rPr>
                <w:rFonts w:ascii="Times New Roman" w:hAnsi="Times New Roman"/>
                <w:b/>
                <w:bCs/>
                <w:sz w:val="20"/>
                <w:szCs w:val="20"/>
                <w:lang w:eastAsia="fr-FR"/>
              </w:rPr>
              <w:t>Strategy</w:t>
            </w:r>
            <w:proofErr w:type="spellEnd"/>
          </w:p>
        </w:tc>
        <w:tc>
          <w:tcPr>
            <w:tcW w:w="1812" w:type="dxa"/>
            <w:vAlign w:val="center"/>
          </w:tcPr>
          <w:p w14:paraId="00666DEF" w14:textId="4033A7A4" w:rsidR="002E59F4" w:rsidRDefault="002E59F4" w:rsidP="002E59F4">
            <w:pPr>
              <w:spacing w:after="0" w:line="240" w:lineRule="auto"/>
              <w:jc w:val="both"/>
              <w:rPr>
                <w:rFonts w:ascii="Times New Roman" w:hAnsi="Times New Roman"/>
                <w:sz w:val="20"/>
                <w:szCs w:val="20"/>
                <w:lang w:val="en-US" w:eastAsia="fr-FR"/>
              </w:rPr>
            </w:pPr>
            <w:proofErr w:type="spellStart"/>
            <w:r w:rsidRPr="00016AFB">
              <w:rPr>
                <w:rFonts w:ascii="Times New Roman" w:hAnsi="Times New Roman"/>
                <w:b/>
                <w:bCs/>
                <w:sz w:val="20"/>
                <w:szCs w:val="20"/>
                <w:lang w:eastAsia="fr-FR"/>
              </w:rPr>
              <w:t>Key</w:t>
            </w:r>
            <w:proofErr w:type="spellEnd"/>
            <w:r w:rsidRPr="00016AFB">
              <w:rPr>
                <w:rFonts w:ascii="Times New Roman" w:hAnsi="Times New Roman"/>
                <w:b/>
                <w:bCs/>
                <w:sz w:val="20"/>
                <w:szCs w:val="20"/>
                <w:lang w:eastAsia="fr-FR"/>
              </w:rPr>
              <w:t xml:space="preserve"> </w:t>
            </w:r>
            <w:proofErr w:type="spellStart"/>
            <w:r>
              <w:rPr>
                <w:rFonts w:ascii="Times New Roman" w:hAnsi="Times New Roman"/>
                <w:b/>
                <w:bCs/>
                <w:sz w:val="20"/>
                <w:szCs w:val="20"/>
                <w:lang w:eastAsia="fr-FR"/>
              </w:rPr>
              <w:t>r</w:t>
            </w:r>
            <w:r w:rsidRPr="00016AFB">
              <w:rPr>
                <w:rFonts w:ascii="Times New Roman" w:hAnsi="Times New Roman"/>
                <w:b/>
                <w:bCs/>
                <w:sz w:val="20"/>
                <w:szCs w:val="20"/>
                <w:lang w:eastAsia="fr-FR"/>
              </w:rPr>
              <w:t>eference</w:t>
            </w:r>
            <w:proofErr w:type="spellEnd"/>
          </w:p>
        </w:tc>
      </w:tr>
      <w:tr w:rsidR="002E59F4" w14:paraId="18106BD7" w14:textId="77777777" w:rsidTr="002E59F4">
        <w:tc>
          <w:tcPr>
            <w:tcW w:w="1812" w:type="dxa"/>
            <w:vAlign w:val="center"/>
          </w:tcPr>
          <w:p w14:paraId="6E29E7B1" w14:textId="5D066320" w:rsidR="002E59F4" w:rsidRDefault="002E59F4" w:rsidP="002E59F4">
            <w:pPr>
              <w:spacing w:after="0" w:line="240" w:lineRule="auto"/>
              <w:jc w:val="both"/>
              <w:rPr>
                <w:rFonts w:ascii="Times New Roman" w:hAnsi="Times New Roman"/>
                <w:sz w:val="20"/>
                <w:szCs w:val="20"/>
                <w:lang w:val="en-US" w:eastAsia="fr-FR"/>
              </w:rPr>
            </w:pPr>
            <w:r w:rsidRPr="00016AFB">
              <w:rPr>
                <w:rFonts w:ascii="Times New Roman" w:hAnsi="Times New Roman"/>
                <w:b/>
                <w:bCs/>
                <w:sz w:val="20"/>
                <w:szCs w:val="20"/>
                <w:lang w:eastAsia="fr-FR"/>
              </w:rPr>
              <w:t xml:space="preserve">United </w:t>
            </w:r>
            <w:proofErr w:type="spellStart"/>
            <w:r w:rsidRPr="00016AFB">
              <w:rPr>
                <w:rFonts w:ascii="Times New Roman" w:hAnsi="Times New Roman"/>
                <w:b/>
                <w:bCs/>
                <w:sz w:val="20"/>
                <w:szCs w:val="20"/>
                <w:lang w:eastAsia="fr-FR"/>
              </w:rPr>
              <w:t>Kingdom</w:t>
            </w:r>
            <w:proofErr w:type="spellEnd"/>
          </w:p>
        </w:tc>
        <w:tc>
          <w:tcPr>
            <w:tcW w:w="1812" w:type="dxa"/>
            <w:vAlign w:val="center"/>
          </w:tcPr>
          <w:p w14:paraId="58AA5D6C" w14:textId="5915B869" w:rsidR="002E59F4" w:rsidRDefault="002E59F4" w:rsidP="002E59F4">
            <w:pPr>
              <w:spacing w:after="0" w:line="240" w:lineRule="auto"/>
              <w:jc w:val="both"/>
              <w:rPr>
                <w:rFonts w:ascii="Times New Roman" w:hAnsi="Times New Roman"/>
                <w:sz w:val="20"/>
                <w:szCs w:val="20"/>
                <w:lang w:val="en-US" w:eastAsia="fr-FR"/>
              </w:rPr>
            </w:pPr>
            <w:proofErr w:type="spellStart"/>
            <w:r w:rsidRPr="00016AFB">
              <w:rPr>
                <w:rFonts w:ascii="Times New Roman" w:hAnsi="Times New Roman"/>
                <w:sz w:val="20"/>
                <w:szCs w:val="20"/>
                <w:lang w:eastAsia="fr-FR"/>
              </w:rPr>
              <w:t>Moderate</w:t>
            </w:r>
            <w:proofErr w:type="spellEnd"/>
            <w:r w:rsidRPr="00016AFB">
              <w:rPr>
                <w:rFonts w:ascii="Times New Roman" w:hAnsi="Times New Roman"/>
                <w:sz w:val="20"/>
                <w:szCs w:val="20"/>
                <w:lang w:eastAsia="fr-FR"/>
              </w:rPr>
              <w:t xml:space="preserve"> (</w:t>
            </w:r>
            <w:proofErr w:type="spellStart"/>
            <w:r w:rsidRPr="00016AFB">
              <w:rPr>
                <w:rFonts w:ascii="Times New Roman" w:hAnsi="Times New Roman"/>
                <w:sz w:val="20"/>
                <w:szCs w:val="20"/>
                <w:lang w:eastAsia="fr-FR"/>
              </w:rPr>
              <w:t>regional</w:t>
            </w:r>
            <w:proofErr w:type="spellEnd"/>
            <w:r w:rsidRPr="00016AFB">
              <w:rPr>
                <w:rFonts w:ascii="Times New Roman" w:hAnsi="Times New Roman"/>
                <w:sz w:val="20"/>
                <w:szCs w:val="20"/>
                <w:lang w:eastAsia="fr-FR"/>
              </w:rPr>
              <w:t xml:space="preserve"> </w:t>
            </w:r>
            <w:proofErr w:type="spellStart"/>
            <w:r w:rsidRPr="00016AFB">
              <w:rPr>
                <w:rFonts w:ascii="Times New Roman" w:hAnsi="Times New Roman"/>
                <w:sz w:val="20"/>
                <w:szCs w:val="20"/>
                <w:lang w:eastAsia="fr-FR"/>
              </w:rPr>
              <w:t>bottlenecks</w:t>
            </w:r>
            <w:proofErr w:type="spellEnd"/>
            <w:r w:rsidRPr="00016AFB">
              <w:rPr>
                <w:rFonts w:ascii="Times New Roman" w:hAnsi="Times New Roman"/>
                <w:sz w:val="20"/>
                <w:szCs w:val="20"/>
                <w:lang w:eastAsia="fr-FR"/>
              </w:rPr>
              <w:t>)</w:t>
            </w:r>
          </w:p>
        </w:tc>
        <w:tc>
          <w:tcPr>
            <w:tcW w:w="1812" w:type="dxa"/>
            <w:vAlign w:val="center"/>
          </w:tcPr>
          <w:p w14:paraId="1ACED646" w14:textId="315082AA" w:rsidR="002E59F4" w:rsidRDefault="002E59F4" w:rsidP="002E59F4">
            <w:pPr>
              <w:spacing w:after="0" w:line="240" w:lineRule="auto"/>
              <w:jc w:val="both"/>
              <w:rPr>
                <w:rFonts w:ascii="Times New Roman" w:hAnsi="Times New Roman"/>
                <w:sz w:val="20"/>
                <w:szCs w:val="20"/>
                <w:lang w:val="en-US" w:eastAsia="fr-FR"/>
              </w:rPr>
            </w:pPr>
            <w:r w:rsidRPr="00016AFB">
              <w:rPr>
                <w:rFonts w:ascii="Times New Roman" w:hAnsi="Times New Roman"/>
                <w:sz w:val="20"/>
                <w:szCs w:val="20"/>
                <w:lang w:eastAsia="fr-FR"/>
              </w:rPr>
              <w:t xml:space="preserve">Chemicals, Steel, </w:t>
            </w:r>
            <w:proofErr w:type="spellStart"/>
            <w:r w:rsidRPr="00016AFB">
              <w:rPr>
                <w:rFonts w:ascii="Times New Roman" w:hAnsi="Times New Roman"/>
                <w:sz w:val="20"/>
                <w:szCs w:val="20"/>
                <w:lang w:eastAsia="fr-FR"/>
              </w:rPr>
              <w:t>Ceramics</w:t>
            </w:r>
            <w:proofErr w:type="spellEnd"/>
          </w:p>
        </w:tc>
        <w:tc>
          <w:tcPr>
            <w:tcW w:w="1812" w:type="dxa"/>
            <w:vAlign w:val="center"/>
          </w:tcPr>
          <w:p w14:paraId="0BFEED56" w14:textId="78B18A86" w:rsidR="002E59F4" w:rsidRDefault="002E59F4" w:rsidP="002E59F4">
            <w:pPr>
              <w:spacing w:after="0" w:line="240" w:lineRule="auto"/>
              <w:jc w:val="both"/>
              <w:rPr>
                <w:rFonts w:ascii="Times New Roman" w:hAnsi="Times New Roman"/>
                <w:sz w:val="20"/>
                <w:szCs w:val="20"/>
                <w:lang w:val="en-US" w:eastAsia="fr-FR"/>
              </w:rPr>
            </w:pPr>
            <w:r w:rsidRPr="00016AFB">
              <w:rPr>
                <w:rFonts w:ascii="Times New Roman" w:hAnsi="Times New Roman"/>
                <w:sz w:val="20"/>
                <w:szCs w:val="20"/>
                <w:lang w:val="en-US" w:eastAsia="fr-FR"/>
              </w:rPr>
              <w:t>Spatially targeted grid planning, substation upgrades</w:t>
            </w:r>
          </w:p>
        </w:tc>
        <w:tc>
          <w:tcPr>
            <w:tcW w:w="1812" w:type="dxa"/>
            <w:vAlign w:val="center"/>
          </w:tcPr>
          <w:p w14:paraId="4DE3AEAB" w14:textId="4E1C1D8E" w:rsidR="002E59F4" w:rsidRDefault="002E59F4" w:rsidP="002E59F4">
            <w:pPr>
              <w:spacing w:after="0" w:line="240" w:lineRule="auto"/>
              <w:jc w:val="both"/>
              <w:rPr>
                <w:rFonts w:ascii="Times New Roman" w:hAnsi="Times New Roman"/>
                <w:sz w:val="20"/>
                <w:szCs w:val="20"/>
                <w:lang w:val="en-US" w:eastAsia="fr-FR"/>
              </w:rPr>
            </w:pPr>
            <w:proofErr w:type="spellStart"/>
            <w:r w:rsidRPr="00016AFB">
              <w:rPr>
                <w:rFonts w:ascii="Times New Roman" w:hAnsi="Times New Roman"/>
                <w:sz w:val="20"/>
                <w:szCs w:val="20"/>
                <w:lang w:eastAsia="fr-FR"/>
              </w:rPr>
              <w:t>Gailani</w:t>
            </w:r>
            <w:proofErr w:type="spellEnd"/>
            <w:r w:rsidRPr="00016AFB">
              <w:rPr>
                <w:rFonts w:ascii="Times New Roman" w:hAnsi="Times New Roman"/>
                <w:sz w:val="20"/>
                <w:szCs w:val="20"/>
                <w:lang w:eastAsia="fr-FR"/>
              </w:rPr>
              <w:t xml:space="preserve"> &amp; Taylor (2025)</w:t>
            </w:r>
          </w:p>
        </w:tc>
      </w:tr>
      <w:tr w:rsidR="002E59F4" w14:paraId="076D2268" w14:textId="77777777" w:rsidTr="002E59F4">
        <w:tc>
          <w:tcPr>
            <w:tcW w:w="1812" w:type="dxa"/>
            <w:vAlign w:val="center"/>
          </w:tcPr>
          <w:p w14:paraId="40C291E0" w14:textId="27A6B990" w:rsidR="002E59F4" w:rsidRDefault="002E59F4" w:rsidP="002E59F4">
            <w:pPr>
              <w:spacing w:after="0" w:line="240" w:lineRule="auto"/>
              <w:jc w:val="both"/>
              <w:rPr>
                <w:rFonts w:ascii="Times New Roman" w:hAnsi="Times New Roman"/>
                <w:sz w:val="20"/>
                <w:szCs w:val="20"/>
                <w:lang w:val="en-US" w:eastAsia="fr-FR"/>
              </w:rPr>
            </w:pPr>
            <w:r w:rsidRPr="00016AFB">
              <w:rPr>
                <w:rFonts w:ascii="Times New Roman" w:hAnsi="Times New Roman"/>
                <w:b/>
                <w:bCs/>
                <w:sz w:val="20"/>
                <w:szCs w:val="20"/>
                <w:lang w:eastAsia="fr-FR"/>
              </w:rPr>
              <w:t>Germany</w:t>
            </w:r>
          </w:p>
        </w:tc>
        <w:tc>
          <w:tcPr>
            <w:tcW w:w="1812" w:type="dxa"/>
            <w:vAlign w:val="center"/>
          </w:tcPr>
          <w:p w14:paraId="0363075C" w14:textId="42298F25" w:rsidR="002E59F4" w:rsidRDefault="002E59F4" w:rsidP="002E59F4">
            <w:pPr>
              <w:spacing w:after="0" w:line="240" w:lineRule="auto"/>
              <w:jc w:val="both"/>
              <w:rPr>
                <w:rFonts w:ascii="Times New Roman" w:hAnsi="Times New Roman"/>
                <w:sz w:val="20"/>
                <w:szCs w:val="20"/>
                <w:lang w:val="en-US" w:eastAsia="fr-FR"/>
              </w:rPr>
            </w:pPr>
            <w:r w:rsidRPr="00016AFB">
              <w:rPr>
                <w:rFonts w:ascii="Times New Roman" w:hAnsi="Times New Roman"/>
                <w:sz w:val="20"/>
                <w:szCs w:val="20"/>
                <w:lang w:eastAsia="fr-FR"/>
              </w:rPr>
              <w:t xml:space="preserve">High in </w:t>
            </w:r>
            <w:proofErr w:type="spellStart"/>
            <w:r w:rsidRPr="00016AFB">
              <w:rPr>
                <w:rFonts w:ascii="Times New Roman" w:hAnsi="Times New Roman"/>
                <w:sz w:val="20"/>
                <w:szCs w:val="20"/>
                <w:lang w:eastAsia="fr-FR"/>
              </w:rPr>
              <w:t>industrial</w:t>
            </w:r>
            <w:proofErr w:type="spellEnd"/>
            <w:r w:rsidRPr="00016AFB">
              <w:rPr>
                <w:rFonts w:ascii="Times New Roman" w:hAnsi="Times New Roman"/>
                <w:sz w:val="20"/>
                <w:szCs w:val="20"/>
                <w:lang w:eastAsia="fr-FR"/>
              </w:rPr>
              <w:t xml:space="preserve"> </w:t>
            </w:r>
            <w:proofErr w:type="spellStart"/>
            <w:r w:rsidRPr="00016AFB">
              <w:rPr>
                <w:rFonts w:ascii="Times New Roman" w:hAnsi="Times New Roman"/>
                <w:sz w:val="20"/>
                <w:szCs w:val="20"/>
                <w:lang w:eastAsia="fr-FR"/>
              </w:rPr>
              <w:t>hubs</w:t>
            </w:r>
            <w:proofErr w:type="spellEnd"/>
          </w:p>
        </w:tc>
        <w:tc>
          <w:tcPr>
            <w:tcW w:w="1812" w:type="dxa"/>
            <w:vAlign w:val="center"/>
          </w:tcPr>
          <w:p w14:paraId="091E04C1" w14:textId="4F65635F" w:rsidR="002E59F4" w:rsidRDefault="002E59F4" w:rsidP="002E59F4">
            <w:pPr>
              <w:spacing w:after="0" w:line="240" w:lineRule="auto"/>
              <w:jc w:val="both"/>
              <w:rPr>
                <w:rFonts w:ascii="Times New Roman" w:hAnsi="Times New Roman"/>
                <w:sz w:val="20"/>
                <w:szCs w:val="20"/>
                <w:lang w:val="en-US" w:eastAsia="fr-FR"/>
              </w:rPr>
            </w:pPr>
            <w:r w:rsidRPr="00016AFB">
              <w:rPr>
                <w:rFonts w:ascii="Times New Roman" w:hAnsi="Times New Roman"/>
                <w:sz w:val="20"/>
                <w:szCs w:val="20"/>
                <w:lang w:eastAsia="fr-FR"/>
              </w:rPr>
              <w:t xml:space="preserve">Cement, </w:t>
            </w:r>
            <w:proofErr w:type="spellStart"/>
            <w:r w:rsidRPr="00016AFB">
              <w:rPr>
                <w:rFonts w:ascii="Times New Roman" w:hAnsi="Times New Roman"/>
                <w:sz w:val="20"/>
                <w:szCs w:val="20"/>
                <w:lang w:eastAsia="fr-FR"/>
              </w:rPr>
              <w:t>Machinery</w:t>
            </w:r>
            <w:proofErr w:type="spellEnd"/>
            <w:r w:rsidRPr="00016AFB">
              <w:rPr>
                <w:rFonts w:ascii="Times New Roman" w:hAnsi="Times New Roman"/>
                <w:sz w:val="20"/>
                <w:szCs w:val="20"/>
                <w:lang w:eastAsia="fr-FR"/>
              </w:rPr>
              <w:t>, Steel</w:t>
            </w:r>
          </w:p>
        </w:tc>
        <w:tc>
          <w:tcPr>
            <w:tcW w:w="1812" w:type="dxa"/>
            <w:vAlign w:val="center"/>
          </w:tcPr>
          <w:p w14:paraId="5FA919A8" w14:textId="7FA200AF" w:rsidR="002E59F4" w:rsidRDefault="002E59F4" w:rsidP="002E59F4">
            <w:pPr>
              <w:spacing w:after="0" w:line="240" w:lineRule="auto"/>
              <w:jc w:val="both"/>
              <w:rPr>
                <w:rFonts w:ascii="Times New Roman" w:hAnsi="Times New Roman"/>
                <w:sz w:val="20"/>
                <w:szCs w:val="20"/>
                <w:lang w:val="en-US" w:eastAsia="fr-FR"/>
              </w:rPr>
            </w:pPr>
            <w:r w:rsidRPr="00016AFB">
              <w:rPr>
                <w:rFonts w:ascii="Times New Roman" w:hAnsi="Times New Roman"/>
                <w:sz w:val="20"/>
                <w:szCs w:val="20"/>
                <w:lang w:val="en-US" w:eastAsia="fr-FR"/>
              </w:rPr>
              <w:t>Smart grid rollout, hydrogen clusters, sector coupling</w:t>
            </w:r>
          </w:p>
        </w:tc>
        <w:tc>
          <w:tcPr>
            <w:tcW w:w="1812" w:type="dxa"/>
            <w:vAlign w:val="center"/>
          </w:tcPr>
          <w:p w14:paraId="754A2F0D" w14:textId="05013D3A" w:rsidR="002E59F4" w:rsidRDefault="002E59F4" w:rsidP="002E59F4">
            <w:pPr>
              <w:spacing w:after="0" w:line="240" w:lineRule="auto"/>
              <w:jc w:val="both"/>
              <w:rPr>
                <w:rFonts w:ascii="Times New Roman" w:hAnsi="Times New Roman"/>
                <w:sz w:val="20"/>
                <w:szCs w:val="20"/>
                <w:lang w:val="en-US" w:eastAsia="fr-FR"/>
              </w:rPr>
            </w:pPr>
            <w:r w:rsidRPr="00016AFB">
              <w:rPr>
                <w:rFonts w:ascii="Times New Roman" w:hAnsi="Times New Roman"/>
                <w:sz w:val="20"/>
                <w:szCs w:val="20"/>
                <w:lang w:val="en-US" w:eastAsia="fr-FR"/>
              </w:rPr>
              <w:t xml:space="preserve">Brown et al. (2018); </w:t>
            </w:r>
            <w:proofErr w:type="spellStart"/>
            <w:r w:rsidRPr="00016AFB">
              <w:rPr>
                <w:rFonts w:ascii="Times New Roman" w:hAnsi="Times New Roman"/>
                <w:sz w:val="20"/>
                <w:szCs w:val="20"/>
                <w:lang w:val="en-US" w:eastAsia="fr-FR"/>
              </w:rPr>
              <w:t>Madeddu</w:t>
            </w:r>
            <w:proofErr w:type="spellEnd"/>
            <w:r w:rsidRPr="00016AFB">
              <w:rPr>
                <w:rFonts w:ascii="Times New Roman" w:hAnsi="Times New Roman"/>
                <w:sz w:val="20"/>
                <w:szCs w:val="20"/>
                <w:lang w:val="en-US" w:eastAsia="fr-FR"/>
              </w:rPr>
              <w:t xml:space="preserve"> et al. </w:t>
            </w:r>
            <w:r w:rsidRPr="00016AFB">
              <w:rPr>
                <w:rFonts w:ascii="Times New Roman" w:hAnsi="Times New Roman"/>
                <w:sz w:val="20"/>
                <w:szCs w:val="20"/>
                <w:lang w:eastAsia="fr-FR"/>
              </w:rPr>
              <w:t>(2020)</w:t>
            </w:r>
          </w:p>
        </w:tc>
      </w:tr>
      <w:tr w:rsidR="002E59F4" w14:paraId="358714F7" w14:textId="77777777" w:rsidTr="002E59F4">
        <w:tc>
          <w:tcPr>
            <w:tcW w:w="1812" w:type="dxa"/>
            <w:vAlign w:val="center"/>
          </w:tcPr>
          <w:p w14:paraId="1062F620" w14:textId="1B969318" w:rsidR="002E59F4" w:rsidRDefault="002E59F4" w:rsidP="002E59F4">
            <w:pPr>
              <w:spacing w:after="0" w:line="240" w:lineRule="auto"/>
              <w:jc w:val="both"/>
              <w:rPr>
                <w:rFonts w:ascii="Times New Roman" w:hAnsi="Times New Roman"/>
                <w:sz w:val="20"/>
                <w:szCs w:val="20"/>
                <w:lang w:val="en-US" w:eastAsia="fr-FR"/>
              </w:rPr>
            </w:pPr>
            <w:proofErr w:type="spellStart"/>
            <w:r w:rsidRPr="00016AFB">
              <w:rPr>
                <w:rFonts w:ascii="Times New Roman" w:hAnsi="Times New Roman"/>
                <w:b/>
                <w:bCs/>
                <w:sz w:val="20"/>
                <w:szCs w:val="20"/>
                <w:lang w:eastAsia="fr-FR"/>
              </w:rPr>
              <w:t>India</w:t>
            </w:r>
            <w:proofErr w:type="spellEnd"/>
          </w:p>
        </w:tc>
        <w:tc>
          <w:tcPr>
            <w:tcW w:w="1812" w:type="dxa"/>
            <w:vAlign w:val="center"/>
          </w:tcPr>
          <w:p w14:paraId="3F88F29B" w14:textId="7A95BBF5" w:rsidR="002E59F4" w:rsidRDefault="002E59F4" w:rsidP="002E59F4">
            <w:pPr>
              <w:spacing w:after="0" w:line="240" w:lineRule="auto"/>
              <w:jc w:val="both"/>
              <w:rPr>
                <w:rFonts w:ascii="Times New Roman" w:hAnsi="Times New Roman"/>
                <w:sz w:val="20"/>
                <w:szCs w:val="20"/>
                <w:lang w:val="en-US" w:eastAsia="fr-FR"/>
              </w:rPr>
            </w:pPr>
            <w:r w:rsidRPr="00016AFB">
              <w:rPr>
                <w:rFonts w:ascii="Times New Roman" w:hAnsi="Times New Roman"/>
                <w:sz w:val="20"/>
                <w:szCs w:val="20"/>
                <w:lang w:val="en-US" w:eastAsia="fr-FR"/>
              </w:rPr>
              <w:t>Severe in rural and central states</w:t>
            </w:r>
          </w:p>
        </w:tc>
        <w:tc>
          <w:tcPr>
            <w:tcW w:w="1812" w:type="dxa"/>
            <w:vAlign w:val="center"/>
          </w:tcPr>
          <w:p w14:paraId="03CFFB01" w14:textId="5D58A7B4" w:rsidR="002E59F4" w:rsidRDefault="002E59F4" w:rsidP="002E59F4">
            <w:pPr>
              <w:spacing w:after="0" w:line="240" w:lineRule="auto"/>
              <w:jc w:val="both"/>
              <w:rPr>
                <w:rFonts w:ascii="Times New Roman" w:hAnsi="Times New Roman"/>
                <w:sz w:val="20"/>
                <w:szCs w:val="20"/>
                <w:lang w:val="en-US" w:eastAsia="fr-FR"/>
              </w:rPr>
            </w:pPr>
            <w:proofErr w:type="spellStart"/>
            <w:r w:rsidRPr="00016AFB">
              <w:rPr>
                <w:rFonts w:ascii="Times New Roman" w:hAnsi="Times New Roman"/>
                <w:sz w:val="20"/>
                <w:szCs w:val="20"/>
                <w:lang w:eastAsia="fr-FR"/>
              </w:rPr>
              <w:t>Textiles</w:t>
            </w:r>
            <w:proofErr w:type="spellEnd"/>
            <w:r w:rsidRPr="00016AFB">
              <w:rPr>
                <w:rFonts w:ascii="Times New Roman" w:hAnsi="Times New Roman"/>
                <w:sz w:val="20"/>
                <w:szCs w:val="20"/>
                <w:lang w:eastAsia="fr-FR"/>
              </w:rPr>
              <w:t>, Iron, Cement</w:t>
            </w:r>
          </w:p>
        </w:tc>
        <w:tc>
          <w:tcPr>
            <w:tcW w:w="1812" w:type="dxa"/>
            <w:vAlign w:val="center"/>
          </w:tcPr>
          <w:p w14:paraId="5CDD0EE8" w14:textId="2D268E6A" w:rsidR="002E59F4" w:rsidRDefault="002E59F4" w:rsidP="002E59F4">
            <w:pPr>
              <w:spacing w:after="0" w:line="240" w:lineRule="auto"/>
              <w:jc w:val="both"/>
              <w:rPr>
                <w:rFonts w:ascii="Times New Roman" w:hAnsi="Times New Roman"/>
                <w:sz w:val="20"/>
                <w:szCs w:val="20"/>
                <w:lang w:val="en-US" w:eastAsia="fr-FR"/>
              </w:rPr>
            </w:pPr>
            <w:r w:rsidRPr="00016AFB">
              <w:rPr>
                <w:rFonts w:ascii="Times New Roman" w:hAnsi="Times New Roman"/>
                <w:sz w:val="20"/>
                <w:szCs w:val="20"/>
                <w:lang w:val="en-US" w:eastAsia="fr-FR"/>
              </w:rPr>
              <w:t>Distributed renewables, captive power reforms, sub-grid flexibility</w:t>
            </w:r>
          </w:p>
        </w:tc>
        <w:tc>
          <w:tcPr>
            <w:tcW w:w="1812" w:type="dxa"/>
            <w:vAlign w:val="center"/>
          </w:tcPr>
          <w:p w14:paraId="2791C74E" w14:textId="3B32532C" w:rsidR="002E59F4" w:rsidRDefault="002E59F4" w:rsidP="002E59F4">
            <w:pPr>
              <w:spacing w:after="0" w:line="240" w:lineRule="auto"/>
              <w:jc w:val="both"/>
              <w:rPr>
                <w:rFonts w:ascii="Times New Roman" w:hAnsi="Times New Roman"/>
                <w:sz w:val="20"/>
                <w:szCs w:val="20"/>
                <w:lang w:val="en-US" w:eastAsia="fr-FR"/>
              </w:rPr>
            </w:pPr>
            <w:proofErr w:type="spellStart"/>
            <w:r w:rsidRPr="00016AFB">
              <w:rPr>
                <w:rFonts w:ascii="Times New Roman" w:hAnsi="Times New Roman"/>
                <w:sz w:val="20"/>
                <w:szCs w:val="20"/>
                <w:lang w:eastAsia="fr-FR"/>
              </w:rPr>
              <w:t>Aghahosseini</w:t>
            </w:r>
            <w:proofErr w:type="spellEnd"/>
            <w:r w:rsidRPr="00016AFB">
              <w:rPr>
                <w:rFonts w:ascii="Times New Roman" w:hAnsi="Times New Roman"/>
                <w:sz w:val="20"/>
                <w:szCs w:val="20"/>
                <w:lang w:eastAsia="fr-FR"/>
              </w:rPr>
              <w:t xml:space="preserve"> et al. (2021)</w:t>
            </w:r>
          </w:p>
        </w:tc>
      </w:tr>
      <w:tr w:rsidR="002E59F4" w14:paraId="4212A3DF" w14:textId="77777777" w:rsidTr="002E59F4">
        <w:tc>
          <w:tcPr>
            <w:tcW w:w="1812" w:type="dxa"/>
            <w:vAlign w:val="center"/>
          </w:tcPr>
          <w:p w14:paraId="3DC0C039" w14:textId="14AD9096" w:rsidR="002E59F4" w:rsidRDefault="002E59F4" w:rsidP="002E59F4">
            <w:pPr>
              <w:spacing w:after="0" w:line="240" w:lineRule="auto"/>
              <w:jc w:val="both"/>
              <w:rPr>
                <w:rFonts w:ascii="Times New Roman" w:hAnsi="Times New Roman"/>
                <w:sz w:val="20"/>
                <w:szCs w:val="20"/>
                <w:lang w:val="en-US" w:eastAsia="fr-FR"/>
              </w:rPr>
            </w:pPr>
            <w:r w:rsidRPr="00016AFB">
              <w:rPr>
                <w:rFonts w:ascii="Times New Roman" w:hAnsi="Times New Roman"/>
                <w:b/>
                <w:bCs/>
                <w:sz w:val="20"/>
                <w:szCs w:val="20"/>
                <w:lang w:eastAsia="fr-FR"/>
              </w:rPr>
              <w:t>China</w:t>
            </w:r>
          </w:p>
        </w:tc>
        <w:tc>
          <w:tcPr>
            <w:tcW w:w="1812" w:type="dxa"/>
            <w:vAlign w:val="center"/>
          </w:tcPr>
          <w:p w14:paraId="269B2C1E" w14:textId="6190768C" w:rsidR="002E59F4" w:rsidRDefault="002E59F4" w:rsidP="002E59F4">
            <w:pPr>
              <w:spacing w:after="0" w:line="240" w:lineRule="auto"/>
              <w:jc w:val="both"/>
              <w:rPr>
                <w:rFonts w:ascii="Times New Roman" w:hAnsi="Times New Roman"/>
                <w:sz w:val="20"/>
                <w:szCs w:val="20"/>
                <w:lang w:val="en-US" w:eastAsia="fr-FR"/>
              </w:rPr>
            </w:pPr>
            <w:r w:rsidRPr="00016AFB">
              <w:rPr>
                <w:rFonts w:ascii="Times New Roman" w:hAnsi="Times New Roman"/>
                <w:sz w:val="20"/>
                <w:szCs w:val="20"/>
                <w:lang w:val="en-US" w:eastAsia="fr-FR"/>
              </w:rPr>
              <w:t>Very high (esp. in central &amp; western regions)</w:t>
            </w:r>
          </w:p>
        </w:tc>
        <w:tc>
          <w:tcPr>
            <w:tcW w:w="1812" w:type="dxa"/>
            <w:vAlign w:val="center"/>
          </w:tcPr>
          <w:p w14:paraId="29F83379" w14:textId="7E20D191" w:rsidR="002E59F4" w:rsidRDefault="002E59F4" w:rsidP="002E59F4">
            <w:pPr>
              <w:spacing w:after="0" w:line="240" w:lineRule="auto"/>
              <w:jc w:val="both"/>
              <w:rPr>
                <w:rFonts w:ascii="Times New Roman" w:hAnsi="Times New Roman"/>
                <w:sz w:val="20"/>
                <w:szCs w:val="20"/>
                <w:lang w:val="en-US" w:eastAsia="fr-FR"/>
              </w:rPr>
            </w:pPr>
            <w:r w:rsidRPr="00016AFB">
              <w:rPr>
                <w:rFonts w:ascii="Times New Roman" w:hAnsi="Times New Roman"/>
                <w:sz w:val="20"/>
                <w:szCs w:val="20"/>
                <w:lang w:eastAsia="fr-FR"/>
              </w:rPr>
              <w:t>Steel, Cement, Chemicals, Food</w:t>
            </w:r>
          </w:p>
        </w:tc>
        <w:tc>
          <w:tcPr>
            <w:tcW w:w="1812" w:type="dxa"/>
            <w:vAlign w:val="center"/>
          </w:tcPr>
          <w:p w14:paraId="31DB61C1" w14:textId="4C14996B" w:rsidR="002E59F4" w:rsidRDefault="002E59F4" w:rsidP="002E59F4">
            <w:pPr>
              <w:spacing w:after="0" w:line="240" w:lineRule="auto"/>
              <w:jc w:val="both"/>
              <w:rPr>
                <w:rFonts w:ascii="Times New Roman" w:hAnsi="Times New Roman"/>
                <w:sz w:val="20"/>
                <w:szCs w:val="20"/>
                <w:lang w:val="en-US" w:eastAsia="fr-FR"/>
              </w:rPr>
            </w:pPr>
            <w:r w:rsidRPr="00016AFB">
              <w:rPr>
                <w:rFonts w:ascii="Times New Roman" w:hAnsi="Times New Roman"/>
                <w:sz w:val="20"/>
                <w:szCs w:val="20"/>
                <w:lang w:val="en-US" w:eastAsia="fr-FR"/>
              </w:rPr>
              <w:t>Grid-aware electrification modeling, national zoning coordination, prioritization of heavy clusters</w:t>
            </w:r>
          </w:p>
        </w:tc>
        <w:tc>
          <w:tcPr>
            <w:tcW w:w="1812" w:type="dxa"/>
            <w:vAlign w:val="center"/>
          </w:tcPr>
          <w:p w14:paraId="4841F6D0" w14:textId="4D4E6D85" w:rsidR="002E59F4" w:rsidRDefault="002E59F4" w:rsidP="002E59F4">
            <w:pPr>
              <w:spacing w:after="0" w:line="240" w:lineRule="auto"/>
              <w:jc w:val="both"/>
              <w:rPr>
                <w:rFonts w:ascii="Times New Roman" w:hAnsi="Times New Roman"/>
                <w:sz w:val="20"/>
                <w:szCs w:val="20"/>
                <w:lang w:val="en-US" w:eastAsia="fr-FR"/>
              </w:rPr>
            </w:pPr>
            <w:proofErr w:type="spellStart"/>
            <w:r w:rsidRPr="00016AFB">
              <w:rPr>
                <w:rFonts w:ascii="Times New Roman" w:hAnsi="Times New Roman"/>
                <w:sz w:val="20"/>
                <w:szCs w:val="20"/>
                <w:lang w:eastAsia="fr-FR"/>
              </w:rPr>
              <w:t>This</w:t>
            </w:r>
            <w:proofErr w:type="spellEnd"/>
            <w:r w:rsidRPr="00016AFB">
              <w:rPr>
                <w:rFonts w:ascii="Times New Roman" w:hAnsi="Times New Roman"/>
                <w:sz w:val="20"/>
                <w:szCs w:val="20"/>
                <w:lang w:eastAsia="fr-FR"/>
              </w:rPr>
              <w:t xml:space="preserve"> </w:t>
            </w:r>
            <w:proofErr w:type="spellStart"/>
            <w:r w:rsidRPr="00016AFB">
              <w:rPr>
                <w:rFonts w:ascii="Times New Roman" w:hAnsi="Times New Roman"/>
                <w:sz w:val="20"/>
                <w:szCs w:val="20"/>
                <w:lang w:eastAsia="fr-FR"/>
              </w:rPr>
              <w:t>study</w:t>
            </w:r>
            <w:proofErr w:type="spellEnd"/>
          </w:p>
        </w:tc>
      </w:tr>
    </w:tbl>
    <w:p w14:paraId="5FBE8FA3" w14:textId="77777777" w:rsidR="002E59F4" w:rsidRDefault="002E59F4" w:rsidP="00016AFB">
      <w:pPr>
        <w:spacing w:after="0" w:line="240" w:lineRule="auto"/>
        <w:jc w:val="both"/>
        <w:rPr>
          <w:rFonts w:ascii="Times New Roman" w:hAnsi="Times New Roman"/>
          <w:sz w:val="20"/>
          <w:szCs w:val="20"/>
          <w:lang w:val="en-US" w:eastAsia="fr-FR"/>
        </w:rPr>
      </w:pPr>
    </w:p>
    <w:p w14:paraId="524EAD41" w14:textId="77777777" w:rsidR="00016AFB" w:rsidRPr="00016AFB" w:rsidRDefault="00016AFB" w:rsidP="00016AFB">
      <w:pPr>
        <w:spacing w:after="0" w:line="240" w:lineRule="auto"/>
        <w:jc w:val="both"/>
        <w:rPr>
          <w:rFonts w:ascii="Times New Roman" w:hAnsi="Times New Roman"/>
          <w:sz w:val="20"/>
          <w:szCs w:val="20"/>
          <w:lang w:val="en-US" w:eastAsia="fr-FR"/>
        </w:rPr>
      </w:pPr>
      <w:r w:rsidRPr="00016AFB">
        <w:rPr>
          <w:rFonts w:ascii="Times New Roman" w:hAnsi="Times New Roman"/>
          <w:sz w:val="20"/>
          <w:szCs w:val="20"/>
          <w:lang w:val="en-US" w:eastAsia="fr-FR"/>
        </w:rPr>
        <w:t>This comparative analysis demonstrates that while other countries face similar challenges, China’s situation is uniquely severe due to:</w:t>
      </w:r>
    </w:p>
    <w:p w14:paraId="2F596BF5" w14:textId="29CE526B" w:rsidR="00016AFB" w:rsidRPr="002E59F4" w:rsidRDefault="00016AFB">
      <w:pPr>
        <w:numPr>
          <w:ilvl w:val="0"/>
          <w:numId w:val="41"/>
        </w:numPr>
        <w:spacing w:after="0" w:line="240" w:lineRule="auto"/>
        <w:jc w:val="both"/>
        <w:rPr>
          <w:rFonts w:ascii="Times New Roman" w:hAnsi="Times New Roman"/>
          <w:sz w:val="20"/>
          <w:szCs w:val="20"/>
          <w:lang w:val="en-US" w:eastAsia="fr-FR"/>
        </w:rPr>
      </w:pPr>
      <w:r w:rsidRPr="002E59F4">
        <w:rPr>
          <w:rFonts w:ascii="Times New Roman" w:hAnsi="Times New Roman"/>
          <w:sz w:val="20"/>
          <w:szCs w:val="20"/>
          <w:lang w:val="en-US" w:eastAsia="fr-FR"/>
        </w:rPr>
        <w:t>The geographic scale and industrial density of high-carbon clusters</w:t>
      </w:r>
      <w:r w:rsidR="002E59F4" w:rsidRPr="002E59F4">
        <w:rPr>
          <w:rFonts w:ascii="Times New Roman" w:hAnsi="Times New Roman"/>
          <w:sz w:val="20"/>
          <w:szCs w:val="20"/>
          <w:lang w:val="en-US" w:eastAsia="fr-FR"/>
        </w:rPr>
        <w:t>.</w:t>
      </w:r>
    </w:p>
    <w:p w14:paraId="148F6B93" w14:textId="6B3CA1D8" w:rsidR="00016AFB" w:rsidRPr="002E59F4" w:rsidRDefault="00016AFB">
      <w:pPr>
        <w:numPr>
          <w:ilvl w:val="0"/>
          <w:numId w:val="41"/>
        </w:numPr>
        <w:spacing w:after="0" w:line="240" w:lineRule="auto"/>
        <w:jc w:val="both"/>
        <w:rPr>
          <w:rFonts w:ascii="Times New Roman" w:hAnsi="Times New Roman"/>
          <w:sz w:val="20"/>
          <w:szCs w:val="20"/>
          <w:lang w:val="en-US" w:eastAsia="fr-FR"/>
        </w:rPr>
      </w:pPr>
      <w:r w:rsidRPr="002E59F4">
        <w:rPr>
          <w:rFonts w:ascii="Times New Roman" w:hAnsi="Times New Roman"/>
          <w:sz w:val="20"/>
          <w:szCs w:val="20"/>
          <w:lang w:val="en-US" w:eastAsia="fr-FR"/>
        </w:rPr>
        <w:lastRenderedPageBreak/>
        <w:t>Rapid electrification ambitions without synchronous infrastructure buildup</w:t>
      </w:r>
      <w:r w:rsidR="002E59F4" w:rsidRPr="002E59F4">
        <w:rPr>
          <w:rFonts w:ascii="Times New Roman" w:hAnsi="Times New Roman"/>
          <w:sz w:val="20"/>
          <w:szCs w:val="20"/>
          <w:lang w:val="en-US" w:eastAsia="fr-FR"/>
        </w:rPr>
        <w:t>.</w:t>
      </w:r>
    </w:p>
    <w:p w14:paraId="5D1EAA83" w14:textId="1019C68B" w:rsidR="00016AFB" w:rsidRPr="002E59F4" w:rsidRDefault="00016AFB">
      <w:pPr>
        <w:numPr>
          <w:ilvl w:val="0"/>
          <w:numId w:val="41"/>
        </w:numPr>
        <w:spacing w:after="0" w:line="240" w:lineRule="auto"/>
        <w:jc w:val="both"/>
        <w:rPr>
          <w:rFonts w:ascii="Times New Roman" w:hAnsi="Times New Roman"/>
          <w:sz w:val="20"/>
          <w:szCs w:val="20"/>
          <w:lang w:val="en-US" w:eastAsia="fr-FR"/>
        </w:rPr>
      </w:pPr>
      <w:r w:rsidRPr="002E59F4">
        <w:rPr>
          <w:rFonts w:ascii="Times New Roman" w:hAnsi="Times New Roman"/>
          <w:sz w:val="20"/>
          <w:szCs w:val="20"/>
          <w:lang w:val="en-US" w:eastAsia="fr-FR"/>
        </w:rPr>
        <w:t>Limited sub-provincial coordination between industrial development and transmission planning</w:t>
      </w:r>
      <w:r w:rsidR="002E59F4" w:rsidRPr="002E59F4">
        <w:rPr>
          <w:rFonts w:ascii="Times New Roman" w:hAnsi="Times New Roman"/>
          <w:sz w:val="20"/>
          <w:szCs w:val="20"/>
          <w:lang w:val="en-US" w:eastAsia="fr-FR"/>
        </w:rPr>
        <w:t>.</w:t>
      </w:r>
    </w:p>
    <w:p w14:paraId="7C8041B2" w14:textId="77777777" w:rsidR="00016AFB" w:rsidRPr="00016AFB" w:rsidRDefault="00016AFB" w:rsidP="00016AFB">
      <w:pPr>
        <w:spacing w:after="0" w:line="240" w:lineRule="auto"/>
        <w:jc w:val="both"/>
        <w:rPr>
          <w:rFonts w:ascii="Times New Roman" w:hAnsi="Times New Roman"/>
          <w:sz w:val="20"/>
          <w:szCs w:val="20"/>
          <w:lang w:val="en-US" w:eastAsia="fr-FR"/>
        </w:rPr>
      </w:pPr>
      <w:r w:rsidRPr="00016AFB">
        <w:rPr>
          <w:rFonts w:ascii="Times New Roman" w:hAnsi="Times New Roman"/>
          <w:sz w:val="20"/>
          <w:szCs w:val="20"/>
          <w:lang w:val="en-US" w:eastAsia="fr-FR"/>
        </w:rPr>
        <w:t>These insights justify the need for a grid-aware, spatially integrated industrial transition model and offer international lessons for co-optimizing infrastructure with sectoral decarbonization goals.</w:t>
      </w:r>
    </w:p>
    <w:p w14:paraId="5F654F42" w14:textId="77777777" w:rsidR="00016AFB" w:rsidRPr="00016AFB" w:rsidRDefault="00016AFB" w:rsidP="00016AFB">
      <w:pPr>
        <w:spacing w:after="0" w:line="240" w:lineRule="auto"/>
        <w:jc w:val="both"/>
        <w:rPr>
          <w:rFonts w:ascii="Times New Roman" w:hAnsi="Times New Roman"/>
          <w:sz w:val="20"/>
          <w:szCs w:val="20"/>
          <w:lang w:val="en-US" w:eastAsia="fr-FR"/>
        </w:rPr>
      </w:pPr>
    </w:p>
    <w:p w14:paraId="4C9E9215" w14:textId="294BBF7E" w:rsidR="00016AFB" w:rsidRPr="002E59F4" w:rsidRDefault="002E59F4" w:rsidP="002E59F4">
      <w:pPr>
        <w:spacing w:after="60" w:line="240" w:lineRule="auto"/>
        <w:jc w:val="both"/>
        <w:rPr>
          <w:rFonts w:ascii="Times New Roman" w:hAnsi="Times New Roman"/>
          <w:b/>
          <w:bCs/>
          <w:sz w:val="20"/>
          <w:szCs w:val="20"/>
          <w:lang w:eastAsia="fr-FR"/>
        </w:rPr>
      </w:pPr>
      <w:r w:rsidRPr="002E59F4">
        <w:rPr>
          <w:rFonts w:ascii="Times New Roman" w:hAnsi="Times New Roman"/>
          <w:b/>
          <w:bCs/>
          <w:sz w:val="20"/>
          <w:szCs w:val="20"/>
          <w:lang w:eastAsia="fr-FR"/>
        </w:rPr>
        <w:t xml:space="preserve">Appendix C. </w:t>
      </w:r>
      <w:proofErr w:type="spellStart"/>
      <w:r w:rsidR="00016AFB" w:rsidRPr="002E59F4">
        <w:rPr>
          <w:rFonts w:ascii="Times New Roman" w:hAnsi="Times New Roman"/>
          <w:b/>
          <w:bCs/>
          <w:sz w:val="20"/>
          <w:szCs w:val="20"/>
          <w:lang w:eastAsia="fr-FR"/>
        </w:rPr>
        <w:t>Graphical</w:t>
      </w:r>
      <w:proofErr w:type="spellEnd"/>
      <w:r w:rsidR="00016AFB" w:rsidRPr="002E59F4">
        <w:rPr>
          <w:rFonts w:ascii="Times New Roman" w:hAnsi="Times New Roman"/>
          <w:b/>
          <w:bCs/>
          <w:sz w:val="20"/>
          <w:szCs w:val="20"/>
          <w:lang w:eastAsia="fr-FR"/>
        </w:rPr>
        <w:t xml:space="preserve"> </w:t>
      </w:r>
      <w:proofErr w:type="spellStart"/>
      <w:r w:rsidR="00016AFB" w:rsidRPr="002E59F4">
        <w:rPr>
          <w:rFonts w:ascii="Times New Roman" w:hAnsi="Times New Roman"/>
          <w:b/>
          <w:bCs/>
          <w:sz w:val="20"/>
          <w:szCs w:val="20"/>
          <w:lang w:eastAsia="fr-FR"/>
        </w:rPr>
        <w:t>abstract</w:t>
      </w:r>
      <w:proofErr w:type="spellEnd"/>
    </w:p>
    <w:p w14:paraId="7A571A2C" w14:textId="77777777" w:rsidR="00016AFB" w:rsidRPr="007F5091" w:rsidRDefault="00016AFB" w:rsidP="002E59F4">
      <w:pPr>
        <w:spacing w:after="0" w:line="240" w:lineRule="auto"/>
        <w:jc w:val="center"/>
        <w:rPr>
          <w:rFonts w:ascii="Times New Roman" w:hAnsi="Times New Roman"/>
          <w:lang w:eastAsia="fr-FR"/>
        </w:rPr>
      </w:pPr>
      <w:r w:rsidRPr="007F5091">
        <w:rPr>
          <w:rFonts w:ascii="Times New Roman" w:hAnsi="Times New Roman"/>
          <w:noProof/>
          <w:lang w:eastAsia="fr-FR"/>
        </w:rPr>
        <w:drawing>
          <wp:inline distT="0" distB="0" distL="0" distR="0" wp14:anchorId="1E06D1CA" wp14:editId="6B1179CA">
            <wp:extent cx="4914900" cy="4114800"/>
            <wp:effectExtent l="0" t="0" r="0" b="0"/>
            <wp:docPr id="26" name="Image 26" descr="C:\Users\MOHAMED\AppData\Local\Packages\Microsoft.Windows.Photos_8wekyb3d8bbwe\TempState\ShareServiceTempFolder\ChatGPT Image 28 mars 2025, 16_32_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HAMED\AppData\Local\Packages\Microsoft.Windows.Photos_8wekyb3d8bbwe\TempState\ShareServiceTempFolder\ChatGPT Image 28 mars 2025, 16_32_47.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914900" cy="4114800"/>
                    </a:xfrm>
                    <a:prstGeom prst="rect">
                      <a:avLst/>
                    </a:prstGeom>
                    <a:noFill/>
                    <a:ln>
                      <a:noFill/>
                    </a:ln>
                  </pic:spPr>
                </pic:pic>
              </a:graphicData>
            </a:graphic>
          </wp:inline>
        </w:drawing>
      </w:r>
    </w:p>
    <w:p w14:paraId="7A94156C" w14:textId="77777777" w:rsidR="00016AFB" w:rsidRPr="0073263A" w:rsidRDefault="00016AFB" w:rsidP="00016AFB">
      <w:pPr>
        <w:rPr>
          <w:lang w:val="en-US"/>
        </w:rPr>
      </w:pPr>
    </w:p>
    <w:p w14:paraId="3801FE28" w14:textId="77777777" w:rsidR="00EE62F8" w:rsidRPr="00EE62F8" w:rsidRDefault="00EE62F8" w:rsidP="00EE62F8">
      <w:pPr>
        <w:spacing w:after="0" w:line="240" w:lineRule="auto"/>
        <w:jc w:val="both"/>
        <w:rPr>
          <w:rFonts w:ascii="Times New Roman" w:hAnsi="Times New Roman"/>
          <w:sz w:val="18"/>
          <w:szCs w:val="18"/>
          <w:lang w:val="en-US"/>
        </w:rPr>
      </w:pPr>
    </w:p>
    <w:sectPr w:rsidR="00EE62F8" w:rsidRPr="00EE62F8" w:rsidSect="000457EA">
      <w:type w:val="continuous"/>
      <w:pgSz w:w="11906" w:h="16838"/>
      <w:pgMar w:top="1418" w:right="1418" w:bottom="1418" w:left="1418" w:header="709" w:footer="709" w:gutter="0"/>
      <w:pgNumType w:start="43"/>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067B6" w14:textId="77777777" w:rsidR="001F44F7" w:rsidRDefault="001F44F7" w:rsidP="00707561">
      <w:pPr>
        <w:spacing w:after="0" w:line="240" w:lineRule="auto"/>
      </w:pPr>
      <w:r>
        <w:separator/>
      </w:r>
    </w:p>
  </w:endnote>
  <w:endnote w:type="continuationSeparator" w:id="0">
    <w:p w14:paraId="2D819F3D" w14:textId="77777777" w:rsidR="001F44F7" w:rsidRDefault="001F44F7" w:rsidP="00707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30F06" w14:textId="77777777" w:rsidR="00235445" w:rsidRDefault="0023544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6A56C" w14:textId="77777777" w:rsidR="00235445" w:rsidRDefault="0023544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ABA10" w14:textId="77777777" w:rsidR="00235445" w:rsidRDefault="0023544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0E7B2" w14:textId="77777777" w:rsidR="001F44F7" w:rsidRDefault="001F44F7" w:rsidP="00707561">
      <w:pPr>
        <w:spacing w:after="0" w:line="240" w:lineRule="auto"/>
      </w:pPr>
      <w:r>
        <w:separator/>
      </w:r>
    </w:p>
  </w:footnote>
  <w:footnote w:type="continuationSeparator" w:id="0">
    <w:p w14:paraId="1635814E" w14:textId="77777777" w:rsidR="001F44F7" w:rsidRDefault="001F44F7" w:rsidP="007075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FEB72" w14:textId="29D9E573" w:rsidR="005D1511" w:rsidRDefault="00235445" w:rsidP="00704DDA">
    <w:pPr>
      <w:pStyle w:val="Nagwek"/>
      <w:framePr w:wrap="around" w:vAnchor="text" w:hAnchor="margin" w:xAlign="outside" w:y="1"/>
      <w:rPr>
        <w:rStyle w:val="Numerstrony"/>
      </w:rPr>
    </w:pPr>
    <w:r>
      <w:rPr>
        <w:noProof/>
      </w:rPr>
      <w:pict w14:anchorId="0929F6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397657" o:spid="_x0000_s1032" type="#_x0000_t136" style="position:absolute;margin-left:0;margin-top:0;width:419.25pt;height:128.25pt;rotation:315;z-index:-251655168;mso-position-horizontal:center;mso-position-horizontal-relative:margin;mso-position-vertical:center;mso-position-vertical-relative:margin" o:allowincell="f" fillcolor="#e00" stroked="f">
          <v:textpath style="font-family:&quot;Calibri&quot;;font-size:105pt" string="Retracted"/>
        </v:shape>
      </w:pict>
    </w:r>
    <w:r w:rsidR="00F13B07">
      <w:rPr>
        <w:rStyle w:val="Numerstrony"/>
      </w:rPr>
      <w:fldChar w:fldCharType="begin"/>
    </w:r>
    <w:r w:rsidR="005D1511">
      <w:rPr>
        <w:rStyle w:val="Numerstrony"/>
      </w:rPr>
      <w:instrText xml:space="preserve">PAGE  </w:instrText>
    </w:r>
    <w:r w:rsidR="00F13B07">
      <w:rPr>
        <w:rStyle w:val="Numerstrony"/>
      </w:rPr>
      <w:fldChar w:fldCharType="end"/>
    </w:r>
  </w:p>
  <w:p w14:paraId="33A87704" w14:textId="77777777" w:rsidR="005D1511" w:rsidRDefault="005D1511" w:rsidP="00DB7369">
    <w:pPr>
      <w:pStyle w:val="Nagwek"/>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2DF4D" w14:textId="4DFFD815" w:rsidR="005D1511" w:rsidRPr="00FE5936" w:rsidRDefault="00235445" w:rsidP="00704DDA">
    <w:pPr>
      <w:pStyle w:val="Nagwek"/>
      <w:framePr w:wrap="around" w:vAnchor="text" w:hAnchor="margin" w:xAlign="outside" w:y="1"/>
      <w:rPr>
        <w:rStyle w:val="Numerstrony"/>
        <w:rFonts w:ascii="Times New Roman" w:hAnsi="Times New Roman"/>
        <w:b/>
        <w:sz w:val="18"/>
        <w:szCs w:val="18"/>
        <w:lang w:val="en-US"/>
      </w:rPr>
    </w:pPr>
    <w:r>
      <w:rPr>
        <w:noProof/>
      </w:rPr>
      <w:pict w14:anchorId="51769A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397658" o:spid="_x0000_s1033" type="#_x0000_t136" style="position:absolute;margin-left:0;margin-top:0;width:419.25pt;height:128.25pt;rotation:315;z-index:-251653120;mso-position-horizontal:center;mso-position-horizontal-relative:margin;mso-position-vertical:center;mso-position-vertical-relative:margin" o:allowincell="f" fillcolor="#e00" stroked="f">
          <v:textpath style="font-family:&quot;Calibri&quot;;font-size:105pt" string="Retracted"/>
        </v:shape>
      </w:pict>
    </w:r>
    <w:r w:rsidR="00F13B07" w:rsidRPr="00353DF1">
      <w:rPr>
        <w:rStyle w:val="Numerstrony"/>
        <w:rFonts w:ascii="Times New Roman" w:hAnsi="Times New Roman"/>
        <w:b/>
        <w:sz w:val="18"/>
        <w:szCs w:val="18"/>
      </w:rPr>
      <w:fldChar w:fldCharType="begin"/>
    </w:r>
    <w:r w:rsidR="005D1511" w:rsidRPr="006B0E69">
      <w:rPr>
        <w:rStyle w:val="Numerstrony"/>
        <w:rFonts w:ascii="Times New Roman" w:hAnsi="Times New Roman"/>
        <w:b/>
        <w:sz w:val="18"/>
        <w:szCs w:val="18"/>
        <w:lang w:val="en-US"/>
      </w:rPr>
      <w:instrText xml:space="preserve">PAGE  </w:instrText>
    </w:r>
    <w:r w:rsidR="00F13B07" w:rsidRPr="00353DF1">
      <w:rPr>
        <w:rStyle w:val="Numerstrony"/>
        <w:rFonts w:ascii="Times New Roman" w:hAnsi="Times New Roman"/>
        <w:b/>
        <w:sz w:val="18"/>
        <w:szCs w:val="18"/>
      </w:rPr>
      <w:fldChar w:fldCharType="separate"/>
    </w:r>
    <w:r w:rsidR="00E7246D">
      <w:rPr>
        <w:rStyle w:val="Numerstrony"/>
        <w:rFonts w:ascii="Times New Roman" w:hAnsi="Times New Roman"/>
        <w:b/>
        <w:noProof/>
        <w:sz w:val="18"/>
        <w:szCs w:val="18"/>
        <w:lang w:val="en-US"/>
      </w:rPr>
      <w:t>64</w:t>
    </w:r>
    <w:r w:rsidR="00F13B07" w:rsidRPr="00353DF1">
      <w:rPr>
        <w:rStyle w:val="Numerstrony"/>
        <w:rFonts w:ascii="Times New Roman" w:hAnsi="Times New Roman"/>
        <w:b/>
        <w:sz w:val="18"/>
        <w:szCs w:val="18"/>
      </w:rPr>
      <w:fldChar w:fldCharType="end"/>
    </w:r>
  </w:p>
  <w:p w14:paraId="519D6311" w14:textId="7C2227F5" w:rsidR="005D1511" w:rsidRPr="00011586" w:rsidRDefault="006D4DC1" w:rsidP="00DB7369">
    <w:pPr>
      <w:pStyle w:val="Nagwek"/>
      <w:ind w:right="360" w:firstLine="360"/>
      <w:jc w:val="center"/>
      <w:rPr>
        <w:rFonts w:ascii="Times New Roman" w:hAnsi="Times New Roman"/>
        <w:b/>
        <w:sz w:val="18"/>
        <w:szCs w:val="18"/>
        <w:lang w:val="en-US"/>
      </w:rPr>
    </w:pPr>
    <w:r w:rsidRPr="006D4DC1">
      <w:rPr>
        <w:rFonts w:ascii="Times New Roman" w:hAnsi="Times New Roman"/>
        <w:b/>
        <w:sz w:val="18"/>
        <w:szCs w:val="18"/>
        <w:lang w:val="en-US"/>
      </w:rPr>
      <w:t>Touitou</w:t>
    </w:r>
    <w:r w:rsidR="00D61D1C">
      <w:rPr>
        <w:rFonts w:ascii="Times New Roman" w:hAnsi="Times New Roman"/>
        <w:b/>
        <w:sz w:val="18"/>
        <w:szCs w:val="18"/>
        <w:lang w:val="en-US"/>
      </w:rPr>
      <w:t>/</w:t>
    </w:r>
    <w:proofErr w:type="spellStart"/>
    <w:r w:rsidR="005D1511" w:rsidRPr="00011586">
      <w:rPr>
        <w:rFonts w:ascii="Times New Roman" w:hAnsi="Times New Roman"/>
        <w:b/>
        <w:sz w:val="18"/>
        <w:szCs w:val="18"/>
        <w:lang w:val="en-US"/>
      </w:rPr>
      <w:t>Problemy</w:t>
    </w:r>
    <w:proofErr w:type="spellEnd"/>
    <w:r w:rsidR="005D1511" w:rsidRPr="00011586">
      <w:rPr>
        <w:rFonts w:ascii="Times New Roman" w:hAnsi="Times New Roman"/>
        <w:b/>
        <w:sz w:val="18"/>
        <w:szCs w:val="18"/>
        <w:lang w:val="en-US"/>
      </w:rPr>
      <w:t xml:space="preserve"> </w:t>
    </w:r>
    <w:proofErr w:type="spellStart"/>
    <w:r w:rsidR="005D1511" w:rsidRPr="00011586">
      <w:rPr>
        <w:rFonts w:ascii="Times New Roman" w:hAnsi="Times New Roman"/>
        <w:b/>
        <w:sz w:val="18"/>
        <w:szCs w:val="18"/>
        <w:lang w:val="en-US"/>
      </w:rPr>
      <w:t>Ekorozwoju</w:t>
    </w:r>
    <w:proofErr w:type="spellEnd"/>
    <w:r w:rsidR="005D1511" w:rsidRPr="00011586">
      <w:rPr>
        <w:rFonts w:ascii="Times New Roman" w:hAnsi="Times New Roman"/>
        <w:b/>
        <w:sz w:val="18"/>
        <w:szCs w:val="18"/>
        <w:lang w:val="en-US"/>
      </w:rPr>
      <w:t xml:space="preserve">/Problems of Sustainable Development </w:t>
    </w:r>
    <w:r w:rsidR="00764067">
      <w:rPr>
        <w:rFonts w:ascii="Times New Roman" w:hAnsi="Times New Roman"/>
        <w:b/>
        <w:sz w:val="18"/>
        <w:szCs w:val="18"/>
        <w:lang w:val="en-US"/>
      </w:rPr>
      <w:t>2</w:t>
    </w:r>
    <w:r w:rsidR="005D1511" w:rsidRPr="00011586">
      <w:rPr>
        <w:rFonts w:ascii="Times New Roman" w:hAnsi="Times New Roman"/>
        <w:b/>
        <w:sz w:val="18"/>
        <w:szCs w:val="18"/>
        <w:lang w:val="en-US"/>
      </w:rPr>
      <w:t>/20</w:t>
    </w:r>
    <w:r w:rsidR="00E7246D">
      <w:rPr>
        <w:rFonts w:ascii="Times New Roman" w:hAnsi="Times New Roman"/>
        <w:b/>
        <w:sz w:val="18"/>
        <w:szCs w:val="18"/>
        <w:lang w:val="en-US"/>
      </w:rPr>
      <w:t>2</w:t>
    </w:r>
    <w:r w:rsidR="00C57049">
      <w:rPr>
        <w:rFonts w:ascii="Times New Roman" w:hAnsi="Times New Roman"/>
        <w:b/>
        <w:sz w:val="18"/>
        <w:szCs w:val="18"/>
        <w:lang w:val="en-US"/>
      </w:rPr>
      <w:t>5</w:t>
    </w:r>
    <w:r w:rsidR="005D1511" w:rsidRPr="00011586">
      <w:rPr>
        <w:rFonts w:ascii="Times New Roman" w:hAnsi="Times New Roman"/>
        <w:b/>
        <w:sz w:val="18"/>
        <w:szCs w:val="18"/>
        <w:lang w:val="en-US"/>
      </w:rPr>
      <w:t xml:space="preserve">, </w:t>
    </w:r>
    <w:r>
      <w:rPr>
        <w:rFonts w:ascii="Times New Roman" w:hAnsi="Times New Roman"/>
        <w:b/>
        <w:sz w:val="18"/>
        <w:szCs w:val="18"/>
        <w:lang w:val="en-US"/>
      </w:rPr>
      <w:t>42</w:t>
    </w:r>
    <w:r w:rsidR="00692945">
      <w:rPr>
        <w:rFonts w:ascii="Times New Roman" w:hAnsi="Times New Roman"/>
        <w:b/>
        <w:sz w:val="18"/>
        <w:szCs w:val="18"/>
        <w:lang w:val="en-US"/>
      </w:rPr>
      <w:t>-</w:t>
    </w:r>
    <w:r w:rsidR="002E59F4">
      <w:rPr>
        <w:rFonts w:ascii="Times New Roman" w:hAnsi="Times New Roman"/>
        <w:b/>
        <w:sz w:val="18"/>
        <w:szCs w:val="18"/>
        <w:lang w:val="en-US"/>
      </w:rPr>
      <w:t>60</w:t>
    </w:r>
  </w:p>
  <w:p w14:paraId="1DEE51B4" w14:textId="77777777" w:rsidR="005D1511" w:rsidRPr="00011586" w:rsidRDefault="005D1511">
    <w:pPr>
      <w:pStyle w:val="Nagwek"/>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DCE6B" w14:textId="239B6C5C" w:rsidR="00235445" w:rsidRDefault="00235445">
    <w:pPr>
      <w:pStyle w:val="Nagwek"/>
    </w:pPr>
    <w:r>
      <w:rPr>
        <w:noProof/>
      </w:rPr>
      <w:pict w14:anchorId="3FE3DC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397656" o:spid="_x0000_s1031" type="#_x0000_t136" style="position:absolute;margin-left:0;margin-top:0;width:419.25pt;height:128.25pt;rotation:315;z-index:-251657216;mso-position-horizontal:center;mso-position-horizontal-relative:margin;mso-position-vertical:center;mso-position-vertical-relative:margin" o:allowincell="f" fillcolor="#e00" stroked="f">
          <v:textpath style="font-family:&quot;Calibri&quot;;font-size:105pt" string="Retract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2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2"/>
    <w:multiLevelType w:val="multilevel"/>
    <w:tmpl w:val="00000002"/>
    <w:name w:val="WWNum2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3"/>
    <w:multiLevelType w:val="multilevel"/>
    <w:tmpl w:val="00000003"/>
    <w:name w:val="WWNum2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4"/>
    <w:multiLevelType w:val="multilevel"/>
    <w:tmpl w:val="00000004"/>
    <w:name w:val="WWNum2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2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6"/>
    <w:multiLevelType w:val="multilevel"/>
    <w:tmpl w:val="00000006"/>
    <w:name w:val="WWNum2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7"/>
    <w:multiLevelType w:val="multilevel"/>
    <w:tmpl w:val="00000007"/>
    <w:name w:val="WWNum3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8"/>
    <w:multiLevelType w:val="multilevel"/>
    <w:tmpl w:val="00000008"/>
    <w:name w:val="WWNum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09"/>
    <w:multiLevelType w:val="multilevel"/>
    <w:tmpl w:val="00000009"/>
    <w:name w:val="WWNum3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0A"/>
    <w:multiLevelType w:val="multilevel"/>
    <w:tmpl w:val="0000000A"/>
    <w:name w:val="WWNum3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0" w15:restartNumberingAfterBreak="0">
    <w:nsid w:val="0000000B"/>
    <w:multiLevelType w:val="multilevel"/>
    <w:tmpl w:val="0000000B"/>
    <w:name w:val="WWNum3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0C"/>
    <w:multiLevelType w:val="multilevel"/>
    <w:tmpl w:val="0000000C"/>
    <w:name w:val="WWNum3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0D"/>
    <w:multiLevelType w:val="multilevel"/>
    <w:tmpl w:val="0000000D"/>
    <w:name w:val="WWNum3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0E"/>
    <w:multiLevelType w:val="multilevel"/>
    <w:tmpl w:val="0000000E"/>
    <w:name w:val="WWNum3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0F"/>
    <w:multiLevelType w:val="multilevel"/>
    <w:tmpl w:val="0000000F"/>
    <w:name w:val="WWNum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03B146A0"/>
    <w:multiLevelType w:val="multilevel"/>
    <w:tmpl w:val="4E02F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3BB5127"/>
    <w:multiLevelType w:val="multilevel"/>
    <w:tmpl w:val="01543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5D73C32"/>
    <w:multiLevelType w:val="multilevel"/>
    <w:tmpl w:val="15303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66B5828"/>
    <w:multiLevelType w:val="multilevel"/>
    <w:tmpl w:val="758AB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76C60F3"/>
    <w:multiLevelType w:val="multilevel"/>
    <w:tmpl w:val="3A727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693E4F"/>
    <w:multiLevelType w:val="multilevel"/>
    <w:tmpl w:val="5316C8F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0E307868"/>
    <w:multiLevelType w:val="multilevel"/>
    <w:tmpl w:val="F1864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34151E2"/>
    <w:multiLevelType w:val="multilevel"/>
    <w:tmpl w:val="1826EBD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13974E02"/>
    <w:multiLevelType w:val="multilevel"/>
    <w:tmpl w:val="E2BE3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40E65F4"/>
    <w:multiLevelType w:val="multilevel"/>
    <w:tmpl w:val="2852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4D94C40"/>
    <w:multiLevelType w:val="multilevel"/>
    <w:tmpl w:val="E1423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50A245F"/>
    <w:multiLevelType w:val="hybridMultilevel"/>
    <w:tmpl w:val="29E20A30"/>
    <w:lvl w:ilvl="0" w:tplc="1AF444CE">
      <w:start w:val="1"/>
      <w:numFmt w:val="decimal"/>
      <w:pStyle w:val="MDPI71References"/>
      <w:lvlText w:val="%1."/>
      <w:lvlJc w:val="left"/>
      <w:pPr>
        <w:ind w:left="780" w:hanging="4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15:restartNumberingAfterBreak="0">
    <w:nsid w:val="27680306"/>
    <w:multiLevelType w:val="multilevel"/>
    <w:tmpl w:val="52CCE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8B73F12"/>
    <w:multiLevelType w:val="multilevel"/>
    <w:tmpl w:val="BFF25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9892B0C"/>
    <w:multiLevelType w:val="multilevel"/>
    <w:tmpl w:val="4760A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9BE1FD4"/>
    <w:multiLevelType w:val="multilevel"/>
    <w:tmpl w:val="9CB09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B5D3F0D"/>
    <w:multiLevelType w:val="multilevel"/>
    <w:tmpl w:val="52365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E4C5003"/>
    <w:multiLevelType w:val="multilevel"/>
    <w:tmpl w:val="977E5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EAA5F92"/>
    <w:multiLevelType w:val="multilevel"/>
    <w:tmpl w:val="7B641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EAA6ABC"/>
    <w:multiLevelType w:val="multilevel"/>
    <w:tmpl w:val="D9A07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6F049DE"/>
    <w:multiLevelType w:val="multilevel"/>
    <w:tmpl w:val="3E12C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9583348"/>
    <w:multiLevelType w:val="multilevel"/>
    <w:tmpl w:val="EB9E94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DBB61A8"/>
    <w:multiLevelType w:val="multilevel"/>
    <w:tmpl w:val="7C1242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0E0106C"/>
    <w:multiLevelType w:val="multilevel"/>
    <w:tmpl w:val="5DE69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3FD7840"/>
    <w:multiLevelType w:val="multilevel"/>
    <w:tmpl w:val="F9C22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FE6013F"/>
    <w:multiLevelType w:val="multilevel"/>
    <w:tmpl w:val="E87E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26B0890"/>
    <w:multiLevelType w:val="hybridMultilevel"/>
    <w:tmpl w:val="788ADF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30B25C5"/>
    <w:multiLevelType w:val="multilevel"/>
    <w:tmpl w:val="7F7E8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4771B51"/>
    <w:multiLevelType w:val="multilevel"/>
    <w:tmpl w:val="58F63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6651CD2"/>
    <w:multiLevelType w:val="multilevel"/>
    <w:tmpl w:val="D7488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B2021A6"/>
    <w:multiLevelType w:val="multilevel"/>
    <w:tmpl w:val="3FDC2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BE82CC7"/>
    <w:multiLevelType w:val="hybridMultilevel"/>
    <w:tmpl w:val="2D3242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CAC7343"/>
    <w:multiLevelType w:val="hybridMultilevel"/>
    <w:tmpl w:val="2376A7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E2D2959"/>
    <w:multiLevelType w:val="multilevel"/>
    <w:tmpl w:val="0F126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11466B6"/>
    <w:multiLevelType w:val="multilevel"/>
    <w:tmpl w:val="527E17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3001406"/>
    <w:multiLevelType w:val="multilevel"/>
    <w:tmpl w:val="BB204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60C752E"/>
    <w:multiLevelType w:val="multilevel"/>
    <w:tmpl w:val="60DC4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6B841BE"/>
    <w:multiLevelType w:val="multilevel"/>
    <w:tmpl w:val="A97C7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7426C8B"/>
    <w:multiLevelType w:val="multilevel"/>
    <w:tmpl w:val="A056A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BB230B0"/>
    <w:multiLevelType w:val="multilevel"/>
    <w:tmpl w:val="1ADE2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E263FC3"/>
    <w:multiLevelType w:val="multilevel"/>
    <w:tmpl w:val="DE3C5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5801660">
    <w:abstractNumId w:val="26"/>
  </w:num>
  <w:num w:numId="2" w16cid:durableId="645282556">
    <w:abstractNumId w:val="22"/>
  </w:num>
  <w:num w:numId="3" w16cid:durableId="1264071026">
    <w:abstractNumId w:val="48"/>
  </w:num>
  <w:num w:numId="4" w16cid:durableId="1912426503">
    <w:abstractNumId w:val="38"/>
  </w:num>
  <w:num w:numId="5" w16cid:durableId="1609772097">
    <w:abstractNumId w:val="27"/>
  </w:num>
  <w:num w:numId="6" w16cid:durableId="835652628">
    <w:abstractNumId w:val="39"/>
  </w:num>
  <w:num w:numId="7" w16cid:durableId="925190904">
    <w:abstractNumId w:val="29"/>
  </w:num>
  <w:num w:numId="8" w16cid:durableId="151795048">
    <w:abstractNumId w:val="34"/>
  </w:num>
  <w:num w:numId="9" w16cid:durableId="351147089">
    <w:abstractNumId w:val="37"/>
  </w:num>
  <w:num w:numId="10" w16cid:durableId="1305308437">
    <w:abstractNumId w:val="40"/>
  </w:num>
  <w:num w:numId="11" w16cid:durableId="379288236">
    <w:abstractNumId w:val="32"/>
  </w:num>
  <w:num w:numId="12" w16cid:durableId="1758595865">
    <w:abstractNumId w:val="16"/>
  </w:num>
  <w:num w:numId="13" w16cid:durableId="707339231">
    <w:abstractNumId w:val="51"/>
  </w:num>
  <w:num w:numId="14" w16cid:durableId="2027561660">
    <w:abstractNumId w:val="49"/>
  </w:num>
  <w:num w:numId="15" w16cid:durableId="1759986904">
    <w:abstractNumId w:val="20"/>
  </w:num>
  <w:num w:numId="16" w16cid:durableId="133567013">
    <w:abstractNumId w:val="33"/>
  </w:num>
  <w:num w:numId="17" w16cid:durableId="331420382">
    <w:abstractNumId w:val="18"/>
  </w:num>
  <w:num w:numId="18" w16cid:durableId="1143935498">
    <w:abstractNumId w:val="24"/>
  </w:num>
  <w:num w:numId="19" w16cid:durableId="130825036">
    <w:abstractNumId w:val="21"/>
  </w:num>
  <w:num w:numId="20" w16cid:durableId="1706716844">
    <w:abstractNumId w:val="30"/>
  </w:num>
  <w:num w:numId="21" w16cid:durableId="2023625885">
    <w:abstractNumId w:val="50"/>
  </w:num>
  <w:num w:numId="22" w16cid:durableId="2089423814">
    <w:abstractNumId w:val="44"/>
  </w:num>
  <w:num w:numId="23" w16cid:durableId="990140024">
    <w:abstractNumId w:val="43"/>
  </w:num>
  <w:num w:numId="24" w16cid:durableId="122041302">
    <w:abstractNumId w:val="15"/>
  </w:num>
  <w:num w:numId="25" w16cid:durableId="1492722569">
    <w:abstractNumId w:val="28"/>
  </w:num>
  <w:num w:numId="26" w16cid:durableId="68700341">
    <w:abstractNumId w:val="45"/>
  </w:num>
  <w:num w:numId="27" w16cid:durableId="1308433109">
    <w:abstractNumId w:val="35"/>
  </w:num>
  <w:num w:numId="28" w16cid:durableId="98373377">
    <w:abstractNumId w:val="42"/>
  </w:num>
  <w:num w:numId="29" w16cid:durableId="1008557078">
    <w:abstractNumId w:val="19"/>
  </w:num>
  <w:num w:numId="30" w16cid:durableId="1347630453">
    <w:abstractNumId w:val="36"/>
  </w:num>
  <w:num w:numId="31" w16cid:durableId="255212810">
    <w:abstractNumId w:val="47"/>
  </w:num>
  <w:num w:numId="32" w16cid:durableId="2022514258">
    <w:abstractNumId w:val="46"/>
  </w:num>
  <w:num w:numId="33" w16cid:durableId="6829568">
    <w:abstractNumId w:val="41"/>
  </w:num>
  <w:num w:numId="34" w16cid:durableId="1338189722">
    <w:abstractNumId w:val="52"/>
  </w:num>
  <w:num w:numId="35" w16cid:durableId="1248609067">
    <w:abstractNumId w:val="31"/>
  </w:num>
  <w:num w:numId="36" w16cid:durableId="228617563">
    <w:abstractNumId w:val="53"/>
  </w:num>
  <w:num w:numId="37" w16cid:durableId="181670293">
    <w:abstractNumId w:val="25"/>
  </w:num>
  <w:num w:numId="38" w16cid:durableId="1909531900">
    <w:abstractNumId w:val="55"/>
  </w:num>
  <w:num w:numId="39" w16cid:durableId="21712050">
    <w:abstractNumId w:val="54"/>
  </w:num>
  <w:num w:numId="40" w16cid:durableId="476603775">
    <w:abstractNumId w:val="17"/>
  </w:num>
  <w:num w:numId="41" w16cid:durableId="1802378578">
    <w:abstractNumId w:val="2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906"/>
    <w:rsid w:val="000009D6"/>
    <w:rsid w:val="00002A41"/>
    <w:rsid w:val="00011586"/>
    <w:rsid w:val="000125E5"/>
    <w:rsid w:val="00016AFB"/>
    <w:rsid w:val="00023143"/>
    <w:rsid w:val="00026539"/>
    <w:rsid w:val="000276D8"/>
    <w:rsid w:val="00027CED"/>
    <w:rsid w:val="000457EA"/>
    <w:rsid w:val="00046FB9"/>
    <w:rsid w:val="00063FBA"/>
    <w:rsid w:val="00072F38"/>
    <w:rsid w:val="00074293"/>
    <w:rsid w:val="000770C8"/>
    <w:rsid w:val="00082ADF"/>
    <w:rsid w:val="000932E8"/>
    <w:rsid w:val="00093B98"/>
    <w:rsid w:val="00097CBB"/>
    <w:rsid w:val="000A2830"/>
    <w:rsid w:val="000B49CA"/>
    <w:rsid w:val="000B7D3D"/>
    <w:rsid w:val="000C096B"/>
    <w:rsid w:val="000D1619"/>
    <w:rsid w:val="000D27BC"/>
    <w:rsid w:val="000E363F"/>
    <w:rsid w:val="000F4354"/>
    <w:rsid w:val="000F6E25"/>
    <w:rsid w:val="00103FB2"/>
    <w:rsid w:val="001115DA"/>
    <w:rsid w:val="0011299B"/>
    <w:rsid w:val="00120217"/>
    <w:rsid w:val="00120D5B"/>
    <w:rsid w:val="0012375B"/>
    <w:rsid w:val="001414CF"/>
    <w:rsid w:val="00146626"/>
    <w:rsid w:val="00150BF7"/>
    <w:rsid w:val="001522A7"/>
    <w:rsid w:val="00161975"/>
    <w:rsid w:val="001620AC"/>
    <w:rsid w:val="00165436"/>
    <w:rsid w:val="00175295"/>
    <w:rsid w:val="00175D7E"/>
    <w:rsid w:val="00183B41"/>
    <w:rsid w:val="001A7F45"/>
    <w:rsid w:val="001B43D8"/>
    <w:rsid w:val="001C5D8D"/>
    <w:rsid w:val="001E1D1A"/>
    <w:rsid w:val="001F1A05"/>
    <w:rsid w:val="001F44F7"/>
    <w:rsid w:val="0020279C"/>
    <w:rsid w:val="00204116"/>
    <w:rsid w:val="002103EF"/>
    <w:rsid w:val="0021759C"/>
    <w:rsid w:val="00222B57"/>
    <w:rsid w:val="0022705F"/>
    <w:rsid w:val="002274C1"/>
    <w:rsid w:val="00231741"/>
    <w:rsid w:val="00235445"/>
    <w:rsid w:val="00235983"/>
    <w:rsid w:val="00235AAE"/>
    <w:rsid w:val="00237242"/>
    <w:rsid w:val="0025254D"/>
    <w:rsid w:val="002542F4"/>
    <w:rsid w:val="002554B6"/>
    <w:rsid w:val="002556BD"/>
    <w:rsid w:val="0025757E"/>
    <w:rsid w:val="00262404"/>
    <w:rsid w:val="00281DC6"/>
    <w:rsid w:val="002848BD"/>
    <w:rsid w:val="002857EE"/>
    <w:rsid w:val="00286262"/>
    <w:rsid w:val="00287681"/>
    <w:rsid w:val="002921C2"/>
    <w:rsid w:val="00297939"/>
    <w:rsid w:val="002A146A"/>
    <w:rsid w:val="002A42A3"/>
    <w:rsid w:val="002A76CA"/>
    <w:rsid w:val="002B11DB"/>
    <w:rsid w:val="002B2633"/>
    <w:rsid w:val="002C613F"/>
    <w:rsid w:val="002D0001"/>
    <w:rsid w:val="002D5FB7"/>
    <w:rsid w:val="002E3276"/>
    <w:rsid w:val="002E51FE"/>
    <w:rsid w:val="002E59F4"/>
    <w:rsid w:val="002E6D8A"/>
    <w:rsid w:val="002F1F07"/>
    <w:rsid w:val="002F345B"/>
    <w:rsid w:val="003017C9"/>
    <w:rsid w:val="00302541"/>
    <w:rsid w:val="00303CE5"/>
    <w:rsid w:val="00304814"/>
    <w:rsid w:val="003066E6"/>
    <w:rsid w:val="003128DA"/>
    <w:rsid w:val="003158FF"/>
    <w:rsid w:val="00316373"/>
    <w:rsid w:val="0032567D"/>
    <w:rsid w:val="00337F22"/>
    <w:rsid w:val="00341BF6"/>
    <w:rsid w:val="00344B2F"/>
    <w:rsid w:val="0034641C"/>
    <w:rsid w:val="00351618"/>
    <w:rsid w:val="00353DF1"/>
    <w:rsid w:val="00360A30"/>
    <w:rsid w:val="00381A56"/>
    <w:rsid w:val="0038560F"/>
    <w:rsid w:val="0039193E"/>
    <w:rsid w:val="00396819"/>
    <w:rsid w:val="003A51D3"/>
    <w:rsid w:val="003B3533"/>
    <w:rsid w:val="003C0960"/>
    <w:rsid w:val="003C63F2"/>
    <w:rsid w:val="003D5F46"/>
    <w:rsid w:val="003D6628"/>
    <w:rsid w:val="003D7F3B"/>
    <w:rsid w:val="003E1FEC"/>
    <w:rsid w:val="003F194A"/>
    <w:rsid w:val="003F2476"/>
    <w:rsid w:val="003F2CF5"/>
    <w:rsid w:val="0040407E"/>
    <w:rsid w:val="00414CE2"/>
    <w:rsid w:val="004154AE"/>
    <w:rsid w:val="00416BEB"/>
    <w:rsid w:val="00417F48"/>
    <w:rsid w:val="004217F5"/>
    <w:rsid w:val="00424457"/>
    <w:rsid w:val="004253B9"/>
    <w:rsid w:val="004253D3"/>
    <w:rsid w:val="00426754"/>
    <w:rsid w:val="00430135"/>
    <w:rsid w:val="004330C1"/>
    <w:rsid w:val="00450BCD"/>
    <w:rsid w:val="00450C6D"/>
    <w:rsid w:val="004515F2"/>
    <w:rsid w:val="004527D6"/>
    <w:rsid w:val="00452ED3"/>
    <w:rsid w:val="00463C28"/>
    <w:rsid w:val="00465F22"/>
    <w:rsid w:val="00474500"/>
    <w:rsid w:val="0047784D"/>
    <w:rsid w:val="0048008D"/>
    <w:rsid w:val="00491948"/>
    <w:rsid w:val="0049273D"/>
    <w:rsid w:val="004A173A"/>
    <w:rsid w:val="004A4564"/>
    <w:rsid w:val="004A493A"/>
    <w:rsid w:val="004B2B7A"/>
    <w:rsid w:val="004B2E13"/>
    <w:rsid w:val="004E3510"/>
    <w:rsid w:val="004E3EAC"/>
    <w:rsid w:val="004F1054"/>
    <w:rsid w:val="004F5774"/>
    <w:rsid w:val="004F78E7"/>
    <w:rsid w:val="0051157A"/>
    <w:rsid w:val="00511A9F"/>
    <w:rsid w:val="00513A57"/>
    <w:rsid w:val="005319FC"/>
    <w:rsid w:val="00537D3E"/>
    <w:rsid w:val="00547782"/>
    <w:rsid w:val="005541BE"/>
    <w:rsid w:val="00571506"/>
    <w:rsid w:val="00573B2B"/>
    <w:rsid w:val="005756E0"/>
    <w:rsid w:val="00577F4B"/>
    <w:rsid w:val="005877D1"/>
    <w:rsid w:val="005973E1"/>
    <w:rsid w:val="005A762E"/>
    <w:rsid w:val="005D1511"/>
    <w:rsid w:val="005D51E0"/>
    <w:rsid w:val="005D5EAC"/>
    <w:rsid w:val="005E240E"/>
    <w:rsid w:val="005F3E6E"/>
    <w:rsid w:val="005F41B4"/>
    <w:rsid w:val="005F6000"/>
    <w:rsid w:val="00600D7B"/>
    <w:rsid w:val="00614BDC"/>
    <w:rsid w:val="0061701C"/>
    <w:rsid w:val="0062047B"/>
    <w:rsid w:val="00630609"/>
    <w:rsid w:val="006373AC"/>
    <w:rsid w:val="0064575C"/>
    <w:rsid w:val="00663B7F"/>
    <w:rsid w:val="00667E5D"/>
    <w:rsid w:val="006727AC"/>
    <w:rsid w:val="00682EA0"/>
    <w:rsid w:val="00692945"/>
    <w:rsid w:val="006A0DD8"/>
    <w:rsid w:val="006A17EC"/>
    <w:rsid w:val="006B0E69"/>
    <w:rsid w:val="006B5AB1"/>
    <w:rsid w:val="006B6A23"/>
    <w:rsid w:val="006C0222"/>
    <w:rsid w:val="006C0DD9"/>
    <w:rsid w:val="006C6851"/>
    <w:rsid w:val="006D4DC1"/>
    <w:rsid w:val="006D675E"/>
    <w:rsid w:val="006E5FFB"/>
    <w:rsid w:val="006F1701"/>
    <w:rsid w:val="006F5108"/>
    <w:rsid w:val="00700F16"/>
    <w:rsid w:val="00702BEF"/>
    <w:rsid w:val="00704DDA"/>
    <w:rsid w:val="00706F5D"/>
    <w:rsid w:val="00707202"/>
    <w:rsid w:val="00707561"/>
    <w:rsid w:val="00711561"/>
    <w:rsid w:val="007227B1"/>
    <w:rsid w:val="00731120"/>
    <w:rsid w:val="007314F9"/>
    <w:rsid w:val="00732BCE"/>
    <w:rsid w:val="00736D1A"/>
    <w:rsid w:val="007460D6"/>
    <w:rsid w:val="00753D3D"/>
    <w:rsid w:val="007566F9"/>
    <w:rsid w:val="00760D13"/>
    <w:rsid w:val="007626EB"/>
    <w:rsid w:val="00764067"/>
    <w:rsid w:val="00781F4B"/>
    <w:rsid w:val="00790C10"/>
    <w:rsid w:val="007A107F"/>
    <w:rsid w:val="007A35E6"/>
    <w:rsid w:val="007A591A"/>
    <w:rsid w:val="007B23B4"/>
    <w:rsid w:val="007B48C7"/>
    <w:rsid w:val="007B64CE"/>
    <w:rsid w:val="007C1BD3"/>
    <w:rsid w:val="007D081F"/>
    <w:rsid w:val="007E0F7C"/>
    <w:rsid w:val="007E538F"/>
    <w:rsid w:val="007F35F0"/>
    <w:rsid w:val="007F43C2"/>
    <w:rsid w:val="007F632C"/>
    <w:rsid w:val="007F7068"/>
    <w:rsid w:val="00806E89"/>
    <w:rsid w:val="008108CA"/>
    <w:rsid w:val="008135FC"/>
    <w:rsid w:val="0081411E"/>
    <w:rsid w:val="0081512B"/>
    <w:rsid w:val="008404B4"/>
    <w:rsid w:val="00845148"/>
    <w:rsid w:val="008533A3"/>
    <w:rsid w:val="00854726"/>
    <w:rsid w:val="00856A7F"/>
    <w:rsid w:val="00863239"/>
    <w:rsid w:val="00865C9A"/>
    <w:rsid w:val="0087432D"/>
    <w:rsid w:val="008813F9"/>
    <w:rsid w:val="00882822"/>
    <w:rsid w:val="008840DB"/>
    <w:rsid w:val="0088538B"/>
    <w:rsid w:val="00893D4E"/>
    <w:rsid w:val="008A1C14"/>
    <w:rsid w:val="008A297C"/>
    <w:rsid w:val="008A2C32"/>
    <w:rsid w:val="008A6F0D"/>
    <w:rsid w:val="008A752F"/>
    <w:rsid w:val="008A7CED"/>
    <w:rsid w:val="008B0119"/>
    <w:rsid w:val="008C1325"/>
    <w:rsid w:val="008C4FA0"/>
    <w:rsid w:val="008D524F"/>
    <w:rsid w:val="008F1FA6"/>
    <w:rsid w:val="008F649A"/>
    <w:rsid w:val="008F7865"/>
    <w:rsid w:val="009132CD"/>
    <w:rsid w:val="0091578B"/>
    <w:rsid w:val="009177EC"/>
    <w:rsid w:val="00917E57"/>
    <w:rsid w:val="009208E0"/>
    <w:rsid w:val="00925441"/>
    <w:rsid w:val="00927F03"/>
    <w:rsid w:val="009353DD"/>
    <w:rsid w:val="009370A2"/>
    <w:rsid w:val="0093743F"/>
    <w:rsid w:val="00940246"/>
    <w:rsid w:val="00942062"/>
    <w:rsid w:val="00943C28"/>
    <w:rsid w:val="00943CD5"/>
    <w:rsid w:val="00944EED"/>
    <w:rsid w:val="0094535B"/>
    <w:rsid w:val="00946EC3"/>
    <w:rsid w:val="00950A0C"/>
    <w:rsid w:val="00953764"/>
    <w:rsid w:val="00955926"/>
    <w:rsid w:val="00957843"/>
    <w:rsid w:val="00966F82"/>
    <w:rsid w:val="0098277B"/>
    <w:rsid w:val="00990945"/>
    <w:rsid w:val="00991E19"/>
    <w:rsid w:val="009A7B29"/>
    <w:rsid w:val="009B74BC"/>
    <w:rsid w:val="009C0665"/>
    <w:rsid w:val="009C132D"/>
    <w:rsid w:val="009C327E"/>
    <w:rsid w:val="009C5BBD"/>
    <w:rsid w:val="009D62CC"/>
    <w:rsid w:val="009E0565"/>
    <w:rsid w:val="009E22A0"/>
    <w:rsid w:val="009E4038"/>
    <w:rsid w:val="009E4531"/>
    <w:rsid w:val="009E5BC8"/>
    <w:rsid w:val="009F58E1"/>
    <w:rsid w:val="00A042B8"/>
    <w:rsid w:val="00A0492B"/>
    <w:rsid w:val="00A11FB2"/>
    <w:rsid w:val="00A12184"/>
    <w:rsid w:val="00A25604"/>
    <w:rsid w:val="00A27D85"/>
    <w:rsid w:val="00A33D56"/>
    <w:rsid w:val="00A4109E"/>
    <w:rsid w:val="00A419C7"/>
    <w:rsid w:val="00A4285A"/>
    <w:rsid w:val="00A43B93"/>
    <w:rsid w:val="00A5424C"/>
    <w:rsid w:val="00A6152E"/>
    <w:rsid w:val="00A65AC5"/>
    <w:rsid w:val="00A76354"/>
    <w:rsid w:val="00A76429"/>
    <w:rsid w:val="00AA3874"/>
    <w:rsid w:val="00AB10D9"/>
    <w:rsid w:val="00AB3ABE"/>
    <w:rsid w:val="00AC1DCA"/>
    <w:rsid w:val="00AD22B7"/>
    <w:rsid w:val="00AD4A02"/>
    <w:rsid w:val="00AD6D72"/>
    <w:rsid w:val="00AE3282"/>
    <w:rsid w:val="00AE621E"/>
    <w:rsid w:val="00AF72AE"/>
    <w:rsid w:val="00B02823"/>
    <w:rsid w:val="00B07109"/>
    <w:rsid w:val="00B10233"/>
    <w:rsid w:val="00B120BA"/>
    <w:rsid w:val="00B147EA"/>
    <w:rsid w:val="00B1780B"/>
    <w:rsid w:val="00B24F5F"/>
    <w:rsid w:val="00B26527"/>
    <w:rsid w:val="00B26FDF"/>
    <w:rsid w:val="00B46E8E"/>
    <w:rsid w:val="00B6204E"/>
    <w:rsid w:val="00B63980"/>
    <w:rsid w:val="00B63E58"/>
    <w:rsid w:val="00B6700A"/>
    <w:rsid w:val="00B754F9"/>
    <w:rsid w:val="00B76263"/>
    <w:rsid w:val="00B860A4"/>
    <w:rsid w:val="00B9232C"/>
    <w:rsid w:val="00B92C68"/>
    <w:rsid w:val="00B92F10"/>
    <w:rsid w:val="00BB3134"/>
    <w:rsid w:val="00BB498F"/>
    <w:rsid w:val="00BC2526"/>
    <w:rsid w:val="00BD0DE7"/>
    <w:rsid w:val="00BD29E4"/>
    <w:rsid w:val="00BD7972"/>
    <w:rsid w:val="00BE03AF"/>
    <w:rsid w:val="00BE79D3"/>
    <w:rsid w:val="00BF28E2"/>
    <w:rsid w:val="00BF31D8"/>
    <w:rsid w:val="00C02CF8"/>
    <w:rsid w:val="00C05C4E"/>
    <w:rsid w:val="00C11299"/>
    <w:rsid w:val="00C16810"/>
    <w:rsid w:val="00C17FED"/>
    <w:rsid w:val="00C31562"/>
    <w:rsid w:val="00C35096"/>
    <w:rsid w:val="00C419D5"/>
    <w:rsid w:val="00C57049"/>
    <w:rsid w:val="00C65323"/>
    <w:rsid w:val="00C678DB"/>
    <w:rsid w:val="00C67920"/>
    <w:rsid w:val="00C77962"/>
    <w:rsid w:val="00C901F8"/>
    <w:rsid w:val="00C917E4"/>
    <w:rsid w:val="00C92C5D"/>
    <w:rsid w:val="00CA2BC9"/>
    <w:rsid w:val="00CB3F53"/>
    <w:rsid w:val="00CB4540"/>
    <w:rsid w:val="00CB5695"/>
    <w:rsid w:val="00CC3663"/>
    <w:rsid w:val="00CC43F9"/>
    <w:rsid w:val="00CD5FEF"/>
    <w:rsid w:val="00CD7E2E"/>
    <w:rsid w:val="00CE0B82"/>
    <w:rsid w:val="00CE1298"/>
    <w:rsid w:val="00CE5B14"/>
    <w:rsid w:val="00CE6299"/>
    <w:rsid w:val="00CF0241"/>
    <w:rsid w:val="00CF0E37"/>
    <w:rsid w:val="00CF13EF"/>
    <w:rsid w:val="00CF2365"/>
    <w:rsid w:val="00D015F6"/>
    <w:rsid w:val="00D075A4"/>
    <w:rsid w:val="00D14421"/>
    <w:rsid w:val="00D22777"/>
    <w:rsid w:val="00D243DE"/>
    <w:rsid w:val="00D32096"/>
    <w:rsid w:val="00D36F76"/>
    <w:rsid w:val="00D3705D"/>
    <w:rsid w:val="00D53DF6"/>
    <w:rsid w:val="00D56402"/>
    <w:rsid w:val="00D61D1C"/>
    <w:rsid w:val="00D70FE4"/>
    <w:rsid w:val="00D760DC"/>
    <w:rsid w:val="00D767C9"/>
    <w:rsid w:val="00D8023E"/>
    <w:rsid w:val="00D82FFA"/>
    <w:rsid w:val="00D871B4"/>
    <w:rsid w:val="00D926D7"/>
    <w:rsid w:val="00D92BF4"/>
    <w:rsid w:val="00D953FB"/>
    <w:rsid w:val="00D954FA"/>
    <w:rsid w:val="00DA0420"/>
    <w:rsid w:val="00DA138E"/>
    <w:rsid w:val="00DA3F95"/>
    <w:rsid w:val="00DA6112"/>
    <w:rsid w:val="00DB0D4D"/>
    <w:rsid w:val="00DB2451"/>
    <w:rsid w:val="00DB7369"/>
    <w:rsid w:val="00DC2F6B"/>
    <w:rsid w:val="00DD4F2E"/>
    <w:rsid w:val="00DD5028"/>
    <w:rsid w:val="00DD6787"/>
    <w:rsid w:val="00DE1F63"/>
    <w:rsid w:val="00DF38A5"/>
    <w:rsid w:val="00E058AD"/>
    <w:rsid w:val="00E05C25"/>
    <w:rsid w:val="00E175EE"/>
    <w:rsid w:val="00E17AED"/>
    <w:rsid w:val="00E20FA2"/>
    <w:rsid w:val="00E2665D"/>
    <w:rsid w:val="00E30D68"/>
    <w:rsid w:val="00E32C37"/>
    <w:rsid w:val="00E35CF9"/>
    <w:rsid w:val="00E513A4"/>
    <w:rsid w:val="00E51B1E"/>
    <w:rsid w:val="00E643F4"/>
    <w:rsid w:val="00E66AA5"/>
    <w:rsid w:val="00E71B77"/>
    <w:rsid w:val="00E7246D"/>
    <w:rsid w:val="00E75DFD"/>
    <w:rsid w:val="00E856A3"/>
    <w:rsid w:val="00E935EF"/>
    <w:rsid w:val="00E964EC"/>
    <w:rsid w:val="00E96CA7"/>
    <w:rsid w:val="00EB28DA"/>
    <w:rsid w:val="00EC0C1B"/>
    <w:rsid w:val="00EC327F"/>
    <w:rsid w:val="00ED1F76"/>
    <w:rsid w:val="00EE2B73"/>
    <w:rsid w:val="00EE37A2"/>
    <w:rsid w:val="00EE444D"/>
    <w:rsid w:val="00EE62F8"/>
    <w:rsid w:val="00EF2491"/>
    <w:rsid w:val="00EF7A3D"/>
    <w:rsid w:val="00F03861"/>
    <w:rsid w:val="00F062DE"/>
    <w:rsid w:val="00F11F42"/>
    <w:rsid w:val="00F13B07"/>
    <w:rsid w:val="00F13EA9"/>
    <w:rsid w:val="00F15B0C"/>
    <w:rsid w:val="00F16EED"/>
    <w:rsid w:val="00F36553"/>
    <w:rsid w:val="00F43AFE"/>
    <w:rsid w:val="00F47A88"/>
    <w:rsid w:val="00F5430E"/>
    <w:rsid w:val="00F54871"/>
    <w:rsid w:val="00F558AA"/>
    <w:rsid w:val="00F63E4A"/>
    <w:rsid w:val="00F72EF7"/>
    <w:rsid w:val="00F7532B"/>
    <w:rsid w:val="00F75E89"/>
    <w:rsid w:val="00F76A06"/>
    <w:rsid w:val="00F779C8"/>
    <w:rsid w:val="00F874A8"/>
    <w:rsid w:val="00F87906"/>
    <w:rsid w:val="00F97C39"/>
    <w:rsid w:val="00FA4336"/>
    <w:rsid w:val="00FA58E5"/>
    <w:rsid w:val="00FC0FEE"/>
    <w:rsid w:val="00FC486F"/>
    <w:rsid w:val="00FD0688"/>
    <w:rsid w:val="00FD1DD1"/>
    <w:rsid w:val="00FD2DE8"/>
    <w:rsid w:val="00FD3842"/>
    <w:rsid w:val="00FE5936"/>
    <w:rsid w:val="00FE77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D9CD1"/>
  <w15:docId w15:val="{37774E1B-910A-4E9C-98A6-F3373148E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B11DB"/>
    <w:pPr>
      <w:spacing w:after="200" w:line="276" w:lineRule="auto"/>
    </w:pPr>
    <w:rPr>
      <w:sz w:val="22"/>
      <w:szCs w:val="22"/>
    </w:rPr>
  </w:style>
  <w:style w:type="paragraph" w:styleId="Nagwek1">
    <w:name w:val="heading 1"/>
    <w:basedOn w:val="Normalny"/>
    <w:next w:val="Normalny"/>
    <w:link w:val="Nagwek1Znak"/>
    <w:qFormat/>
    <w:rsid w:val="00D92BF4"/>
    <w:pPr>
      <w:keepNext/>
      <w:spacing w:before="240" w:after="60"/>
      <w:outlineLvl w:val="0"/>
    </w:pPr>
    <w:rPr>
      <w:rFonts w:ascii="Cambria" w:hAnsi="Cambria"/>
      <w:b/>
      <w:bCs/>
      <w:kern w:val="32"/>
      <w:sz w:val="32"/>
      <w:szCs w:val="32"/>
    </w:rPr>
  </w:style>
  <w:style w:type="paragraph" w:styleId="Nagwek2">
    <w:name w:val="heading 2"/>
    <w:basedOn w:val="Normalny"/>
    <w:link w:val="Nagwek2Znak"/>
    <w:uiPriority w:val="9"/>
    <w:qFormat/>
    <w:rsid w:val="00C67920"/>
    <w:pPr>
      <w:spacing w:before="100" w:beforeAutospacing="1" w:after="100" w:afterAutospacing="1" w:line="240" w:lineRule="auto"/>
      <w:outlineLvl w:val="1"/>
    </w:pPr>
    <w:rPr>
      <w:rFonts w:ascii="Times New Roman" w:hAnsi="Times New Roman"/>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92BF4"/>
    <w:rPr>
      <w:rFonts w:ascii="Cambria" w:eastAsia="Times New Roman" w:hAnsi="Cambria" w:cs="Times New Roman"/>
      <w:b/>
      <w:bCs/>
      <w:kern w:val="32"/>
      <w:sz w:val="32"/>
      <w:szCs w:val="32"/>
    </w:rPr>
  </w:style>
  <w:style w:type="character" w:customStyle="1" w:styleId="Nagwek2Znak">
    <w:name w:val="Nagłówek 2 Znak"/>
    <w:basedOn w:val="Domylnaczcionkaakapitu"/>
    <w:link w:val="Nagwek2"/>
    <w:uiPriority w:val="9"/>
    <w:rsid w:val="00C67920"/>
    <w:rPr>
      <w:rFonts w:ascii="Times New Roman" w:hAnsi="Times New Roman"/>
      <w:b/>
      <w:bCs/>
      <w:sz w:val="36"/>
      <w:szCs w:val="36"/>
    </w:rPr>
  </w:style>
  <w:style w:type="character" w:styleId="Hipercze">
    <w:name w:val="Hyperlink"/>
    <w:basedOn w:val="Domylnaczcionkaakapitu"/>
    <w:unhideWhenUsed/>
    <w:rsid w:val="00707561"/>
    <w:rPr>
      <w:color w:val="0000FF"/>
      <w:u w:val="single"/>
    </w:rPr>
  </w:style>
  <w:style w:type="paragraph" w:styleId="Nagwek">
    <w:name w:val="header"/>
    <w:basedOn w:val="Normalny"/>
    <w:link w:val="NagwekZnak"/>
    <w:unhideWhenUsed/>
    <w:rsid w:val="00707561"/>
    <w:pPr>
      <w:tabs>
        <w:tab w:val="center" w:pos="4536"/>
        <w:tab w:val="right" w:pos="9072"/>
      </w:tabs>
      <w:spacing w:after="0" w:line="240" w:lineRule="auto"/>
    </w:pPr>
  </w:style>
  <w:style w:type="character" w:customStyle="1" w:styleId="NagwekZnak">
    <w:name w:val="Nagłówek Znak"/>
    <w:basedOn w:val="Domylnaczcionkaakapitu"/>
    <w:link w:val="Nagwek"/>
    <w:rsid w:val="00707561"/>
  </w:style>
  <w:style w:type="paragraph" w:styleId="Stopka">
    <w:name w:val="footer"/>
    <w:basedOn w:val="Normalny"/>
    <w:link w:val="StopkaZnak"/>
    <w:uiPriority w:val="99"/>
    <w:unhideWhenUsed/>
    <w:rsid w:val="0070756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07561"/>
  </w:style>
  <w:style w:type="paragraph" w:styleId="Akapitzlist">
    <w:name w:val="List Paragraph"/>
    <w:basedOn w:val="Normalny"/>
    <w:uiPriority w:val="34"/>
    <w:qFormat/>
    <w:rsid w:val="005973E1"/>
    <w:pPr>
      <w:ind w:left="720"/>
      <w:contextualSpacing/>
    </w:pPr>
  </w:style>
  <w:style w:type="paragraph" w:styleId="Tekstpodstawowy">
    <w:name w:val="Body Text"/>
    <w:basedOn w:val="Normalny"/>
    <w:link w:val="TekstpodstawowyZnak"/>
    <w:rsid w:val="00B92F10"/>
    <w:pPr>
      <w:spacing w:after="0" w:line="240" w:lineRule="auto"/>
      <w:jc w:val="both"/>
    </w:pPr>
    <w:rPr>
      <w:rFonts w:ascii="Times New Roman" w:hAnsi="Times New Roman"/>
      <w:sz w:val="24"/>
      <w:szCs w:val="20"/>
    </w:rPr>
  </w:style>
  <w:style w:type="character" w:customStyle="1" w:styleId="TekstpodstawowyZnak">
    <w:name w:val="Tekst podstawowy Znak"/>
    <w:basedOn w:val="Domylnaczcionkaakapitu"/>
    <w:link w:val="Tekstpodstawowy"/>
    <w:rsid w:val="00B92F10"/>
    <w:rPr>
      <w:rFonts w:ascii="Times New Roman" w:eastAsia="Times New Roman" w:hAnsi="Times New Roman" w:cs="Times New Roman"/>
      <w:sz w:val="24"/>
      <w:szCs w:val="20"/>
    </w:rPr>
  </w:style>
  <w:style w:type="paragraph" w:styleId="Tekstdymka">
    <w:name w:val="Balloon Text"/>
    <w:basedOn w:val="Normalny"/>
    <w:link w:val="TekstdymkaZnak"/>
    <w:unhideWhenUsed/>
    <w:rsid w:val="00EE2B7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EE2B73"/>
    <w:rPr>
      <w:rFonts w:ascii="Tahoma" w:hAnsi="Tahoma" w:cs="Tahoma"/>
      <w:sz w:val="16"/>
      <w:szCs w:val="16"/>
    </w:rPr>
  </w:style>
  <w:style w:type="character" w:styleId="Numerstrony">
    <w:name w:val="page number"/>
    <w:basedOn w:val="Domylnaczcionkaakapitu"/>
    <w:rsid w:val="00DB7369"/>
  </w:style>
  <w:style w:type="paragraph" w:styleId="HTML-wstpniesformatowany">
    <w:name w:val="HTML Preformatted"/>
    <w:basedOn w:val="Normalny"/>
    <w:link w:val="HTML-wstpniesformatowanyZnak"/>
    <w:uiPriority w:val="99"/>
    <w:rsid w:val="00046F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rsid w:val="00046FB9"/>
    <w:rPr>
      <w:rFonts w:ascii="Courier New" w:hAnsi="Courier New" w:cs="Courier New"/>
    </w:rPr>
  </w:style>
  <w:style w:type="paragraph" w:styleId="Tekstprzypisudolnego">
    <w:name w:val="footnote text"/>
    <w:basedOn w:val="Normalny"/>
    <w:link w:val="TekstprzypisudolnegoZnak"/>
    <w:rsid w:val="00046FB9"/>
    <w:pPr>
      <w:spacing w:after="0" w:line="240" w:lineRule="auto"/>
    </w:pPr>
    <w:rPr>
      <w:rFonts w:ascii="Times New Roman" w:hAnsi="Times New Roman"/>
      <w:sz w:val="20"/>
      <w:szCs w:val="20"/>
    </w:rPr>
  </w:style>
  <w:style w:type="character" w:customStyle="1" w:styleId="TekstprzypisudolnegoZnak">
    <w:name w:val="Tekst przypisu dolnego Znak"/>
    <w:basedOn w:val="Domylnaczcionkaakapitu"/>
    <w:link w:val="Tekstprzypisudolnego"/>
    <w:rsid w:val="00046FB9"/>
    <w:rPr>
      <w:rFonts w:ascii="Times New Roman" w:hAnsi="Times New Roman"/>
    </w:rPr>
  </w:style>
  <w:style w:type="character" w:styleId="Odwoanieprzypisudolnego">
    <w:name w:val="footnote reference"/>
    <w:basedOn w:val="Domylnaczcionkaakapitu"/>
    <w:rsid w:val="00046FB9"/>
    <w:rPr>
      <w:vertAlign w:val="superscript"/>
    </w:rPr>
  </w:style>
  <w:style w:type="paragraph" w:styleId="Tekstpodstawowy2">
    <w:name w:val="Body Text 2"/>
    <w:basedOn w:val="Normalny"/>
    <w:link w:val="Tekstpodstawowy2Znak"/>
    <w:unhideWhenUsed/>
    <w:rsid w:val="00C67920"/>
    <w:pPr>
      <w:spacing w:after="120" w:line="480" w:lineRule="auto"/>
    </w:pPr>
  </w:style>
  <w:style w:type="character" w:customStyle="1" w:styleId="Tekstpodstawowy2Znak">
    <w:name w:val="Tekst podstawowy 2 Znak"/>
    <w:basedOn w:val="Domylnaczcionkaakapitu"/>
    <w:link w:val="Tekstpodstawowy2"/>
    <w:uiPriority w:val="99"/>
    <w:semiHidden/>
    <w:rsid w:val="00C67920"/>
    <w:rPr>
      <w:sz w:val="22"/>
      <w:szCs w:val="22"/>
    </w:rPr>
  </w:style>
  <w:style w:type="paragraph" w:customStyle="1" w:styleId="Default">
    <w:name w:val="Default"/>
    <w:rsid w:val="006C0DD9"/>
    <w:pPr>
      <w:autoSpaceDE w:val="0"/>
      <w:autoSpaceDN w:val="0"/>
      <w:adjustRightInd w:val="0"/>
    </w:pPr>
    <w:rPr>
      <w:rFonts w:ascii="Arial" w:hAnsi="Arial" w:cs="Arial"/>
      <w:color w:val="000000"/>
      <w:sz w:val="24"/>
      <w:szCs w:val="24"/>
    </w:rPr>
  </w:style>
  <w:style w:type="paragraph" w:customStyle="1" w:styleId="WW-Tekstpodstawowywcity2">
    <w:name w:val="WW-Tekst podstawowy wcięty 2"/>
    <w:basedOn w:val="Normalny"/>
    <w:rsid w:val="006C0DD9"/>
    <w:pPr>
      <w:suppressAutoHyphens/>
      <w:spacing w:after="0" w:line="240" w:lineRule="auto"/>
      <w:ind w:firstLine="567"/>
      <w:jc w:val="both"/>
    </w:pPr>
    <w:rPr>
      <w:rFonts w:ascii="Times New Roman" w:hAnsi="Times New Roman"/>
      <w:sz w:val="24"/>
      <w:szCs w:val="24"/>
      <w:lang w:eastAsia="ar-SA"/>
    </w:rPr>
  </w:style>
  <w:style w:type="paragraph" w:styleId="NormalnyWeb">
    <w:name w:val="Normal (Web)"/>
    <w:basedOn w:val="Normalny"/>
    <w:uiPriority w:val="99"/>
    <w:rsid w:val="006C0DD9"/>
    <w:pPr>
      <w:spacing w:before="100" w:beforeAutospacing="1" w:after="100" w:afterAutospacing="1" w:line="240" w:lineRule="auto"/>
    </w:pPr>
    <w:rPr>
      <w:rFonts w:ascii="Arial" w:eastAsia="SimSun" w:hAnsi="Arial" w:cs="Arial"/>
      <w:color w:val="000000"/>
      <w:sz w:val="24"/>
      <w:szCs w:val="24"/>
      <w:lang w:val="en-GB" w:eastAsia="zh-CN"/>
    </w:rPr>
  </w:style>
  <w:style w:type="character" w:styleId="Uwydatnienie">
    <w:name w:val="Emphasis"/>
    <w:basedOn w:val="Domylnaczcionkaakapitu"/>
    <w:qFormat/>
    <w:rsid w:val="006C0DD9"/>
    <w:rPr>
      <w:i/>
      <w:iCs/>
    </w:rPr>
  </w:style>
  <w:style w:type="paragraph" w:styleId="Tekstpodstawowywcity">
    <w:name w:val="Body Text Indent"/>
    <w:basedOn w:val="Normalny"/>
    <w:link w:val="TekstpodstawowywcityZnak"/>
    <w:rsid w:val="006C0DD9"/>
    <w:pPr>
      <w:spacing w:after="120" w:line="240" w:lineRule="auto"/>
      <w:ind w:left="283"/>
    </w:pPr>
    <w:rPr>
      <w:rFonts w:ascii="Times New Roman" w:hAnsi="Times New Roman"/>
      <w:sz w:val="20"/>
      <w:szCs w:val="20"/>
    </w:rPr>
  </w:style>
  <w:style w:type="character" w:customStyle="1" w:styleId="TekstpodstawowywcityZnak">
    <w:name w:val="Tekst podstawowy wcięty Znak"/>
    <w:basedOn w:val="Domylnaczcionkaakapitu"/>
    <w:link w:val="Tekstpodstawowywcity"/>
    <w:rsid w:val="006C0DD9"/>
    <w:rPr>
      <w:rFonts w:ascii="Times New Roman" w:hAnsi="Times New Roman"/>
    </w:rPr>
  </w:style>
  <w:style w:type="paragraph" w:customStyle="1" w:styleId="StylStylStylWyjustowanyZnakZnakDolewejWyjustowanyZnak">
    <w:name w:val="Styl Styl Styl Wyjustowany Znak Znak + Do lewej + Wyjustowany Znak"/>
    <w:basedOn w:val="Normalny"/>
    <w:rsid w:val="006C0DD9"/>
    <w:pPr>
      <w:spacing w:after="0" w:line="240" w:lineRule="auto"/>
      <w:jc w:val="both"/>
    </w:pPr>
    <w:rPr>
      <w:rFonts w:ascii="Times New Roman" w:hAnsi="Times New Roman"/>
      <w:sz w:val="24"/>
      <w:szCs w:val="20"/>
    </w:rPr>
  </w:style>
  <w:style w:type="paragraph" w:styleId="Tytu">
    <w:name w:val="Title"/>
    <w:basedOn w:val="Normalny"/>
    <w:link w:val="TytuZnak"/>
    <w:qFormat/>
    <w:rsid w:val="006C0DD9"/>
    <w:pPr>
      <w:spacing w:after="0" w:line="240" w:lineRule="auto"/>
      <w:jc w:val="center"/>
    </w:pPr>
    <w:rPr>
      <w:rFonts w:ascii="Times New Roman" w:hAnsi="Times New Roman"/>
      <w:b/>
      <w:bCs/>
      <w:sz w:val="24"/>
      <w:szCs w:val="24"/>
    </w:rPr>
  </w:style>
  <w:style w:type="character" w:customStyle="1" w:styleId="TytuZnak">
    <w:name w:val="Tytuł Znak"/>
    <w:basedOn w:val="Domylnaczcionkaakapitu"/>
    <w:link w:val="Tytu"/>
    <w:rsid w:val="006C0DD9"/>
    <w:rPr>
      <w:rFonts w:ascii="Times New Roman" w:hAnsi="Times New Roman"/>
      <w:b/>
      <w:bCs/>
      <w:sz w:val="24"/>
      <w:szCs w:val="24"/>
    </w:rPr>
  </w:style>
  <w:style w:type="paragraph" w:customStyle="1" w:styleId="first">
    <w:name w:val="first"/>
    <w:basedOn w:val="Normalny"/>
    <w:rsid w:val="00806E89"/>
    <w:pPr>
      <w:spacing w:before="100" w:beforeAutospacing="1" w:after="100" w:afterAutospacing="1" w:line="240" w:lineRule="auto"/>
    </w:pPr>
    <w:rPr>
      <w:rFonts w:ascii="Arial" w:hAnsi="Arial" w:cs="Arial"/>
      <w:color w:val="080000"/>
      <w:sz w:val="20"/>
      <w:szCs w:val="20"/>
    </w:rPr>
  </w:style>
  <w:style w:type="character" w:styleId="Pogrubienie">
    <w:name w:val="Strong"/>
    <w:basedOn w:val="Domylnaczcionkaakapitu"/>
    <w:uiPriority w:val="22"/>
    <w:qFormat/>
    <w:rsid w:val="00806E89"/>
    <w:rPr>
      <w:b/>
      <w:bCs/>
    </w:rPr>
  </w:style>
  <w:style w:type="character" w:customStyle="1" w:styleId="bodytext">
    <w:name w:val="bodytext"/>
    <w:basedOn w:val="Domylnaczcionkaakapitu"/>
    <w:rsid w:val="00806E89"/>
  </w:style>
  <w:style w:type="character" w:styleId="Odwoaniedokomentarza">
    <w:name w:val="annotation reference"/>
    <w:basedOn w:val="Domylnaczcionkaakapitu"/>
    <w:rsid w:val="00D92BF4"/>
    <w:rPr>
      <w:sz w:val="16"/>
      <w:szCs w:val="16"/>
    </w:rPr>
  </w:style>
  <w:style w:type="paragraph" w:styleId="Tekstkomentarza">
    <w:name w:val="annotation text"/>
    <w:basedOn w:val="Normalny"/>
    <w:link w:val="TekstkomentarzaZnak"/>
    <w:rsid w:val="00D92BF4"/>
    <w:pPr>
      <w:spacing w:after="0" w:line="240" w:lineRule="auto"/>
    </w:pPr>
    <w:rPr>
      <w:rFonts w:ascii="Times New Roman" w:hAnsi="Times New Roman"/>
      <w:sz w:val="20"/>
      <w:szCs w:val="20"/>
    </w:rPr>
  </w:style>
  <w:style w:type="character" w:customStyle="1" w:styleId="TekstkomentarzaZnak">
    <w:name w:val="Tekst komentarza Znak"/>
    <w:basedOn w:val="Domylnaczcionkaakapitu"/>
    <w:link w:val="Tekstkomentarza"/>
    <w:rsid w:val="00D92BF4"/>
    <w:rPr>
      <w:rFonts w:ascii="Times New Roman" w:hAnsi="Times New Roman"/>
    </w:rPr>
  </w:style>
  <w:style w:type="paragraph" w:styleId="Tematkomentarza">
    <w:name w:val="annotation subject"/>
    <w:basedOn w:val="Tekstkomentarza"/>
    <w:next w:val="Tekstkomentarza"/>
    <w:link w:val="TematkomentarzaZnak"/>
    <w:rsid w:val="00D92BF4"/>
    <w:rPr>
      <w:b/>
      <w:bCs/>
    </w:rPr>
  </w:style>
  <w:style w:type="character" w:customStyle="1" w:styleId="TematkomentarzaZnak">
    <w:name w:val="Temat komentarza Znak"/>
    <w:basedOn w:val="TekstkomentarzaZnak"/>
    <w:link w:val="Tematkomentarza"/>
    <w:rsid w:val="00D92BF4"/>
    <w:rPr>
      <w:rFonts w:ascii="Times New Roman" w:hAnsi="Times New Roman"/>
      <w:b/>
      <w:bCs/>
    </w:rPr>
  </w:style>
  <w:style w:type="character" w:customStyle="1" w:styleId="hps">
    <w:name w:val="hps"/>
    <w:basedOn w:val="Domylnaczcionkaakapitu"/>
    <w:rsid w:val="00957843"/>
  </w:style>
  <w:style w:type="character" w:customStyle="1" w:styleId="apple-converted-space">
    <w:name w:val="apple-converted-space"/>
    <w:basedOn w:val="Domylnaczcionkaakapitu"/>
    <w:rsid w:val="005D1511"/>
  </w:style>
  <w:style w:type="character" w:customStyle="1" w:styleId="alt-edited">
    <w:name w:val="alt-edited"/>
    <w:basedOn w:val="Domylnaczcionkaakapitu"/>
    <w:rsid w:val="005D1511"/>
  </w:style>
  <w:style w:type="character" w:customStyle="1" w:styleId="atn">
    <w:name w:val="atn"/>
    <w:basedOn w:val="Domylnaczcionkaakapitu"/>
    <w:rsid w:val="005D1511"/>
  </w:style>
  <w:style w:type="character" w:styleId="UyteHipercze">
    <w:name w:val="FollowedHyperlink"/>
    <w:basedOn w:val="Domylnaczcionkaakapitu"/>
    <w:uiPriority w:val="99"/>
    <w:semiHidden/>
    <w:unhideWhenUsed/>
    <w:rsid w:val="00CE1298"/>
    <w:rPr>
      <w:color w:val="800080" w:themeColor="followedHyperlink"/>
      <w:u w:val="single"/>
    </w:rPr>
  </w:style>
  <w:style w:type="character" w:customStyle="1" w:styleId="reference-text">
    <w:name w:val="reference-text"/>
    <w:basedOn w:val="Domylnaczcionkaakapitu"/>
    <w:rsid w:val="00A5424C"/>
  </w:style>
  <w:style w:type="table" w:styleId="Tabela-Siatka">
    <w:name w:val="Table Grid"/>
    <w:basedOn w:val="Standardowy"/>
    <w:rsid w:val="000E3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yWeb1">
    <w:name w:val="Normalny (Web)1"/>
    <w:basedOn w:val="Normalny"/>
    <w:rsid w:val="00D36F76"/>
    <w:pPr>
      <w:suppressAutoHyphens/>
      <w:spacing w:before="280" w:after="280" w:line="240" w:lineRule="auto"/>
    </w:pPr>
    <w:rPr>
      <w:rFonts w:ascii="Times" w:eastAsia="MS Mincho" w:hAnsi="Times"/>
      <w:sz w:val="20"/>
      <w:szCs w:val="20"/>
      <w:lang w:val="cs-CZ"/>
    </w:rPr>
  </w:style>
  <w:style w:type="paragraph" w:customStyle="1" w:styleId="Bezodstpw1">
    <w:name w:val="Bez odstępów1"/>
    <w:rsid w:val="00AB3ABE"/>
    <w:pPr>
      <w:suppressAutoHyphens/>
    </w:pPr>
    <w:rPr>
      <w:rFonts w:eastAsia="Calibri"/>
      <w:lang w:eastAsia="ja-JP"/>
    </w:rPr>
  </w:style>
  <w:style w:type="character" w:customStyle="1" w:styleId="FootnoteCharacters">
    <w:name w:val="Footnote Characters"/>
    <w:rsid w:val="00AB3ABE"/>
  </w:style>
  <w:style w:type="paragraph" w:customStyle="1" w:styleId="Akapitzlist1">
    <w:name w:val="Akapit z listą1"/>
    <w:basedOn w:val="Normalny"/>
    <w:rsid w:val="00DA3F95"/>
    <w:pPr>
      <w:suppressAutoHyphens/>
      <w:spacing w:after="0" w:line="240" w:lineRule="auto"/>
      <w:ind w:left="720"/>
      <w:contextualSpacing/>
    </w:pPr>
    <w:rPr>
      <w:rFonts w:eastAsia="Calibri"/>
      <w:sz w:val="20"/>
      <w:szCs w:val="20"/>
      <w:lang w:eastAsia="ja-JP"/>
    </w:rPr>
  </w:style>
  <w:style w:type="paragraph" w:customStyle="1" w:styleId="MDPI14history">
    <w:name w:val="MDPI_1.4_history"/>
    <w:basedOn w:val="Normalny"/>
    <w:next w:val="Normalny"/>
    <w:qFormat/>
    <w:rsid w:val="00D954FA"/>
    <w:pPr>
      <w:adjustRightInd w:val="0"/>
      <w:snapToGrid w:val="0"/>
      <w:spacing w:before="120" w:after="0" w:line="200" w:lineRule="atLeast"/>
      <w:ind w:left="113"/>
    </w:pPr>
    <w:rPr>
      <w:rFonts w:ascii="Palatino Linotype" w:eastAsia="SimSun" w:hAnsi="Palatino Linotype"/>
      <w:color w:val="000000"/>
      <w:sz w:val="18"/>
      <w:szCs w:val="20"/>
      <w:lang w:val="en-US" w:eastAsia="de-DE"/>
    </w:rPr>
  </w:style>
  <w:style w:type="paragraph" w:customStyle="1" w:styleId="MDPI17abstract">
    <w:name w:val="MDPI_1.7_abstract"/>
    <w:basedOn w:val="Normalny"/>
    <w:next w:val="MDPI18keywords"/>
    <w:qFormat/>
    <w:rsid w:val="00F11F42"/>
    <w:pPr>
      <w:adjustRightInd w:val="0"/>
      <w:snapToGrid w:val="0"/>
      <w:spacing w:before="240" w:after="0" w:line="260" w:lineRule="atLeast"/>
      <w:ind w:left="113"/>
      <w:jc w:val="both"/>
    </w:pPr>
    <w:rPr>
      <w:rFonts w:ascii="Palatino Linotype" w:eastAsia="SimSun" w:hAnsi="Palatino Linotype"/>
      <w:color w:val="000000"/>
      <w:sz w:val="20"/>
      <w:lang w:val="en-US" w:eastAsia="de-DE"/>
    </w:rPr>
  </w:style>
  <w:style w:type="paragraph" w:customStyle="1" w:styleId="MDPI18keywords">
    <w:name w:val="MDPI_1.8_keywords"/>
    <w:basedOn w:val="Normalny"/>
    <w:next w:val="MDPI19classification"/>
    <w:qFormat/>
    <w:rsid w:val="00F11F42"/>
    <w:pPr>
      <w:adjustRightInd w:val="0"/>
      <w:snapToGrid w:val="0"/>
      <w:spacing w:before="240" w:after="0" w:line="260" w:lineRule="atLeast"/>
      <w:ind w:left="113"/>
      <w:jc w:val="both"/>
    </w:pPr>
    <w:rPr>
      <w:rFonts w:ascii="Palatino Linotype" w:eastAsia="SimSun" w:hAnsi="Palatino Linotype"/>
      <w:color w:val="000000"/>
      <w:sz w:val="20"/>
      <w:lang w:val="en-US" w:eastAsia="de-DE"/>
    </w:rPr>
  </w:style>
  <w:style w:type="paragraph" w:customStyle="1" w:styleId="MDPI19classification">
    <w:name w:val="MDPI_1.9_classification"/>
    <w:basedOn w:val="Normalny"/>
    <w:qFormat/>
    <w:rsid w:val="00F11F42"/>
    <w:pPr>
      <w:adjustRightInd w:val="0"/>
      <w:snapToGrid w:val="0"/>
      <w:spacing w:before="240" w:after="0" w:line="260" w:lineRule="atLeast"/>
      <w:ind w:left="113"/>
      <w:jc w:val="both"/>
    </w:pPr>
    <w:rPr>
      <w:rFonts w:ascii="Palatino Linotype" w:eastAsia="SimSun" w:hAnsi="Palatino Linotype"/>
      <w:b/>
      <w:color w:val="000000"/>
      <w:sz w:val="20"/>
      <w:lang w:val="en-US" w:eastAsia="de-DE"/>
    </w:rPr>
  </w:style>
  <w:style w:type="paragraph" w:customStyle="1" w:styleId="MDPI31text">
    <w:name w:val="MDPI_3.1_text"/>
    <w:qFormat/>
    <w:rsid w:val="00F11F42"/>
    <w:pPr>
      <w:adjustRightInd w:val="0"/>
      <w:snapToGrid w:val="0"/>
      <w:spacing w:line="260" w:lineRule="atLeast"/>
      <w:ind w:firstLine="425"/>
      <w:jc w:val="both"/>
    </w:pPr>
    <w:rPr>
      <w:rFonts w:ascii="Palatino Linotype" w:eastAsia="SimSun" w:hAnsi="Palatino Linotype"/>
      <w:color w:val="000000"/>
      <w:szCs w:val="22"/>
      <w:lang w:val="en-US" w:eastAsia="de-DE"/>
    </w:rPr>
  </w:style>
  <w:style w:type="paragraph" w:customStyle="1" w:styleId="MDPI21heading1">
    <w:name w:val="MDPI_2.1_heading1"/>
    <w:basedOn w:val="Normalny"/>
    <w:qFormat/>
    <w:rsid w:val="00F11F42"/>
    <w:pPr>
      <w:adjustRightInd w:val="0"/>
      <w:snapToGrid w:val="0"/>
      <w:spacing w:before="240" w:after="120" w:line="260" w:lineRule="atLeast"/>
      <w:outlineLvl w:val="0"/>
    </w:pPr>
    <w:rPr>
      <w:rFonts w:ascii="Palatino Linotype" w:eastAsia="SimSun" w:hAnsi="Palatino Linotype"/>
      <w:b/>
      <w:color w:val="000000"/>
      <w:sz w:val="20"/>
      <w:lang w:val="en-US" w:eastAsia="de-DE"/>
    </w:rPr>
  </w:style>
  <w:style w:type="paragraph" w:customStyle="1" w:styleId="MDPI71References">
    <w:name w:val="MDPI_7.1_References"/>
    <w:basedOn w:val="Normalny"/>
    <w:qFormat/>
    <w:rsid w:val="00F11F42"/>
    <w:pPr>
      <w:numPr>
        <w:numId w:val="1"/>
      </w:numPr>
      <w:adjustRightInd w:val="0"/>
      <w:snapToGrid w:val="0"/>
      <w:spacing w:after="0" w:line="260" w:lineRule="atLeast"/>
      <w:ind w:left="425" w:hanging="425"/>
      <w:jc w:val="both"/>
    </w:pPr>
    <w:rPr>
      <w:rFonts w:ascii="Palatino Linotype" w:eastAsia="SimSun" w:hAnsi="Palatino Linotype"/>
      <w:color w:val="000000"/>
      <w:sz w:val="18"/>
      <w:szCs w:val="20"/>
      <w:lang w:val="en-US" w:eastAsia="de-DE"/>
    </w:rPr>
  </w:style>
  <w:style w:type="paragraph" w:customStyle="1" w:styleId="Affiliations">
    <w:name w:val="Affiliations"/>
    <w:basedOn w:val="Normalny"/>
    <w:uiPriority w:val="99"/>
    <w:rsid w:val="00CB5695"/>
    <w:pPr>
      <w:spacing w:after="0" w:line="252" w:lineRule="auto"/>
      <w:ind w:firstLine="204"/>
      <w:jc w:val="center"/>
    </w:pPr>
    <w:rPr>
      <w:rFonts w:ascii="Times New Roman" w:hAnsi="Times New Roman"/>
      <w:sz w:val="20"/>
      <w:szCs w:val="20"/>
      <w:lang w:val="en-US" w:eastAsia="en-US"/>
    </w:rPr>
  </w:style>
  <w:style w:type="character" w:customStyle="1" w:styleId="tlid-translation">
    <w:name w:val="tlid-translation"/>
    <w:basedOn w:val="Domylnaczcionkaakapitu"/>
    <w:rsid w:val="00CB5695"/>
  </w:style>
  <w:style w:type="paragraph" w:customStyle="1" w:styleId="Abstract">
    <w:name w:val="Abstract"/>
    <w:basedOn w:val="Normalny"/>
    <w:next w:val="Normalny"/>
    <w:rsid w:val="00222B57"/>
    <w:pPr>
      <w:spacing w:before="20" w:after="0" w:line="252" w:lineRule="auto"/>
      <w:ind w:firstLine="202"/>
      <w:jc w:val="both"/>
    </w:pPr>
    <w:rPr>
      <w:rFonts w:ascii="Times New Roman" w:hAnsi="Times New Roman"/>
      <w:b/>
      <w:bCs/>
      <w:sz w:val="18"/>
      <w:szCs w:val="18"/>
      <w:lang w:val="en-US" w:eastAsia="en-US"/>
    </w:rPr>
  </w:style>
  <w:style w:type="character" w:styleId="Nierozpoznanawzmianka">
    <w:name w:val="Unresolved Mention"/>
    <w:basedOn w:val="Domylnaczcionkaakapitu"/>
    <w:uiPriority w:val="99"/>
    <w:semiHidden/>
    <w:unhideWhenUsed/>
    <w:rsid w:val="005115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000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image" Target="media/image9.jpeg"/><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2A2AB-8B49-498F-AA46-8E492B64A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8788</Words>
  <Characters>52730</Characters>
  <Application>Microsoft Office Word</Application>
  <DocSecurity>0</DocSecurity>
  <Lines>439</Lines>
  <Paragraphs>122</Paragraphs>
  <ScaleCrop>false</ScaleCrop>
  <HeadingPairs>
    <vt:vector size="2" baseType="variant">
      <vt:variant>
        <vt:lpstr>Tytuł</vt:lpstr>
      </vt:variant>
      <vt:variant>
        <vt:i4>1</vt:i4>
      </vt:variant>
    </vt:vector>
  </HeadingPairs>
  <TitlesOfParts>
    <vt:vector size="1" baseType="lpstr">
      <vt:lpstr>PROBLEMY EKOROZWOJU – PROBLEMS OF SUSTAINABLE DEVELOPMENT</vt:lpstr>
    </vt:vector>
  </TitlesOfParts>
  <Company/>
  <LinksUpToDate>false</LinksUpToDate>
  <CharactersWithSpaces>61396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PROBLEMY EKOROZWOJU – PROBLEMS OF SUSTAINABLE DEVELOPMENT</dc:title>
  <dc:creator>Artur Pawłowski</dc:creator>
  <cp:lastModifiedBy>Artur Pawłowski</cp:lastModifiedBy>
  <cp:revision>3</cp:revision>
  <cp:lastPrinted>2008-05-02T23:02:00Z</cp:lastPrinted>
  <dcterms:created xsi:type="dcterms:W3CDTF">2026-06-24T10:04:00Z</dcterms:created>
  <dcterms:modified xsi:type="dcterms:W3CDTF">2026-06-24T10:05:00Z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5472744c-1338-4a36-a78c-651fbc49c86f</vt:lpwstr>
  </property>
</Properties>
</file>